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drawings/drawing4.xml" ContentType="application/vnd.openxmlformats-officedocument.drawingml.chartshapes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drawings/drawing5.xml" ContentType="application/vnd.openxmlformats-officedocument.drawingml.chartshapes+xml"/>
  <Override PartName="/word/charts/chart13.xml" ContentType="application/vnd.openxmlformats-officedocument.drawingml.chart+xml"/>
  <Override PartName="/word/theme/themeOverride7.xml" ContentType="application/vnd.openxmlformats-officedocument.themeOverride+xml"/>
  <Override PartName="/word/drawings/drawing6.xml" ContentType="application/vnd.openxmlformats-officedocument.drawingml.chartshapes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drawings/drawing7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750" w:rsidRPr="00F0466B" w:rsidRDefault="002F4750" w:rsidP="00F02D5A">
      <w:pPr>
        <w:jc w:val="center"/>
        <w:rPr>
          <w:rFonts w:ascii="Arial" w:hAnsi="Arial" w:cs="Arial"/>
          <w:spacing w:val="-4"/>
        </w:rPr>
      </w:pPr>
      <w:bookmarkStart w:id="0" w:name="_GoBack"/>
      <w:bookmarkEnd w:id="0"/>
    </w:p>
    <w:p w:rsidR="00F02D5A" w:rsidRDefault="0016677E" w:rsidP="00E73C29">
      <w:pPr>
        <w:spacing w:line="360" w:lineRule="auto"/>
        <w:rPr>
          <w:rFonts w:ascii="Arial" w:hAnsi="Arial" w:cs="Arial"/>
          <w:spacing w:val="-4"/>
          <w:sz w:val="22"/>
          <w:szCs w:val="22"/>
        </w:rPr>
      </w:pPr>
      <w:r w:rsidRPr="00F0466B">
        <w:rPr>
          <w:rFonts w:ascii="Arial" w:hAnsi="Arial" w:cs="Arial"/>
          <w:spacing w:val="-4"/>
          <w:sz w:val="22"/>
          <w:szCs w:val="22"/>
        </w:rPr>
        <w:tab/>
      </w:r>
      <w:r w:rsidRPr="00F0466B">
        <w:rPr>
          <w:rFonts w:ascii="Arial" w:hAnsi="Arial" w:cs="Arial"/>
          <w:spacing w:val="-4"/>
          <w:sz w:val="22"/>
          <w:szCs w:val="22"/>
        </w:rPr>
        <w:tab/>
      </w:r>
      <w:r w:rsidRPr="00F0466B">
        <w:rPr>
          <w:rFonts w:ascii="Arial" w:hAnsi="Arial" w:cs="Arial"/>
          <w:spacing w:val="-4"/>
          <w:sz w:val="22"/>
          <w:szCs w:val="22"/>
        </w:rPr>
        <w:tab/>
      </w:r>
      <w:r w:rsidRPr="00F0466B">
        <w:rPr>
          <w:rFonts w:ascii="Arial" w:hAnsi="Arial" w:cs="Arial"/>
          <w:spacing w:val="-4"/>
          <w:sz w:val="22"/>
          <w:szCs w:val="22"/>
        </w:rPr>
        <w:tab/>
      </w:r>
      <w:r w:rsidR="00E73C29" w:rsidRPr="00F0466B">
        <w:rPr>
          <w:rFonts w:ascii="Arial" w:hAnsi="Arial" w:cs="Arial"/>
          <w:spacing w:val="-4"/>
          <w:sz w:val="22"/>
          <w:szCs w:val="22"/>
        </w:rPr>
        <w:tab/>
      </w:r>
      <w:r w:rsidR="00E73C29" w:rsidRPr="00F0466B">
        <w:rPr>
          <w:rFonts w:ascii="Arial" w:hAnsi="Arial" w:cs="Arial"/>
          <w:spacing w:val="-4"/>
          <w:sz w:val="22"/>
          <w:szCs w:val="22"/>
        </w:rPr>
        <w:tab/>
      </w:r>
    </w:p>
    <w:p w:rsidR="00F02D5A" w:rsidRDefault="00F02D5A" w:rsidP="00E73C29">
      <w:pPr>
        <w:spacing w:line="360" w:lineRule="auto"/>
        <w:rPr>
          <w:rFonts w:ascii="Arial" w:hAnsi="Arial" w:cs="Arial"/>
          <w:spacing w:val="-4"/>
          <w:sz w:val="22"/>
          <w:szCs w:val="22"/>
        </w:rPr>
      </w:pPr>
    </w:p>
    <w:p w:rsidR="00F02D5A" w:rsidRDefault="00E73C29" w:rsidP="00E73C29">
      <w:pPr>
        <w:spacing w:line="360" w:lineRule="auto"/>
        <w:rPr>
          <w:rFonts w:ascii="Arial" w:hAnsi="Arial" w:cs="Arial"/>
          <w:spacing w:val="-4"/>
          <w:sz w:val="22"/>
          <w:szCs w:val="22"/>
        </w:rPr>
      </w:pPr>
      <w:r w:rsidRPr="00F0466B">
        <w:rPr>
          <w:rFonts w:ascii="Arial" w:hAnsi="Arial" w:cs="Arial"/>
          <w:spacing w:val="-4"/>
          <w:sz w:val="22"/>
          <w:szCs w:val="22"/>
        </w:rPr>
        <w:tab/>
      </w:r>
      <w:r w:rsidRPr="00F0466B">
        <w:rPr>
          <w:rFonts w:ascii="Arial" w:hAnsi="Arial" w:cs="Arial"/>
          <w:spacing w:val="-4"/>
          <w:sz w:val="22"/>
          <w:szCs w:val="22"/>
        </w:rPr>
        <w:tab/>
      </w:r>
      <w:r w:rsidRPr="00F0466B">
        <w:rPr>
          <w:rFonts w:ascii="Arial" w:hAnsi="Arial" w:cs="Arial"/>
          <w:spacing w:val="-4"/>
          <w:sz w:val="22"/>
          <w:szCs w:val="22"/>
        </w:rPr>
        <w:tab/>
      </w:r>
      <w:r w:rsidR="00F407B3" w:rsidRPr="00F0466B">
        <w:rPr>
          <w:rFonts w:ascii="Arial" w:hAnsi="Arial" w:cs="Arial"/>
          <w:spacing w:val="-4"/>
          <w:sz w:val="22"/>
          <w:szCs w:val="22"/>
        </w:rPr>
        <w:t xml:space="preserve">    </w:t>
      </w:r>
      <w:r w:rsidR="00D46C36" w:rsidRPr="00F0466B">
        <w:rPr>
          <w:rFonts w:ascii="Arial" w:hAnsi="Arial" w:cs="Arial"/>
          <w:spacing w:val="-4"/>
          <w:sz w:val="22"/>
          <w:szCs w:val="22"/>
        </w:rPr>
        <w:t xml:space="preserve">    </w:t>
      </w:r>
      <w:r w:rsidR="0001003A" w:rsidRPr="00F0466B">
        <w:rPr>
          <w:rFonts w:ascii="Arial" w:hAnsi="Arial" w:cs="Arial"/>
          <w:spacing w:val="-4"/>
          <w:sz w:val="22"/>
          <w:szCs w:val="22"/>
        </w:rPr>
        <w:t xml:space="preserve">   </w:t>
      </w:r>
    </w:p>
    <w:p w:rsidR="00F02D5A" w:rsidRDefault="00E07AB5" w:rsidP="00F02D5A">
      <w:pPr>
        <w:spacing w:line="360" w:lineRule="auto"/>
        <w:jc w:val="center"/>
        <w:rPr>
          <w:rFonts w:ascii="Arial" w:hAnsi="Arial" w:cs="Arial"/>
          <w:spacing w:val="-4"/>
          <w:sz w:val="22"/>
          <w:szCs w:val="22"/>
        </w:rPr>
      </w:pPr>
      <w:r>
        <w:rPr>
          <w:rFonts w:ascii="Arial" w:hAnsi="Arial" w:cs="Arial"/>
          <w:noProof/>
          <w:spacing w:val="-4"/>
          <w:sz w:val="22"/>
          <w:szCs w:val="22"/>
        </w:rPr>
        <w:drawing>
          <wp:inline distT="0" distB="0" distL="0" distR="0" wp14:anchorId="01470CF6">
            <wp:extent cx="2127885" cy="1274445"/>
            <wp:effectExtent l="0" t="0" r="5715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D5A" w:rsidRDefault="00F02D5A" w:rsidP="00E73C29">
      <w:pPr>
        <w:spacing w:line="360" w:lineRule="auto"/>
        <w:rPr>
          <w:rFonts w:ascii="Arial" w:hAnsi="Arial" w:cs="Arial"/>
          <w:spacing w:val="-4"/>
          <w:sz w:val="22"/>
          <w:szCs w:val="22"/>
        </w:rPr>
      </w:pPr>
    </w:p>
    <w:p w:rsidR="00F02D5A" w:rsidRDefault="00F02D5A" w:rsidP="00E73C29">
      <w:pPr>
        <w:spacing w:line="360" w:lineRule="auto"/>
        <w:rPr>
          <w:rFonts w:ascii="Arial" w:hAnsi="Arial" w:cs="Arial"/>
          <w:spacing w:val="-4"/>
          <w:sz w:val="22"/>
          <w:szCs w:val="22"/>
        </w:rPr>
      </w:pPr>
    </w:p>
    <w:p w:rsidR="004752E8" w:rsidRDefault="004752E8" w:rsidP="00E73C29">
      <w:pPr>
        <w:spacing w:line="360" w:lineRule="auto"/>
        <w:rPr>
          <w:rFonts w:ascii="Verdana" w:hAnsi="Verdana" w:cs="Arial"/>
          <w:spacing w:val="-4"/>
          <w:sz w:val="22"/>
          <w:szCs w:val="22"/>
        </w:rPr>
      </w:pPr>
    </w:p>
    <w:p w:rsidR="00E07AB5" w:rsidRPr="00755D13" w:rsidRDefault="00E07AB5" w:rsidP="00E73C29">
      <w:pPr>
        <w:spacing w:line="360" w:lineRule="auto"/>
        <w:rPr>
          <w:rFonts w:ascii="Verdana" w:hAnsi="Verdana" w:cs="Arial"/>
          <w:spacing w:val="-4"/>
          <w:sz w:val="22"/>
          <w:szCs w:val="22"/>
        </w:rPr>
      </w:pPr>
    </w:p>
    <w:p w:rsidR="004752E8" w:rsidRPr="00755D13" w:rsidRDefault="004752E8" w:rsidP="00E73C29">
      <w:pPr>
        <w:spacing w:line="360" w:lineRule="auto"/>
        <w:rPr>
          <w:rFonts w:ascii="Verdana" w:hAnsi="Verdana" w:cs="Arial"/>
          <w:spacing w:val="-4"/>
          <w:sz w:val="22"/>
          <w:szCs w:val="22"/>
        </w:rPr>
      </w:pPr>
    </w:p>
    <w:p w:rsidR="004752E8" w:rsidRPr="00755D13" w:rsidRDefault="004752E8" w:rsidP="00E73C29">
      <w:pPr>
        <w:spacing w:line="360" w:lineRule="auto"/>
        <w:rPr>
          <w:rFonts w:ascii="Verdana" w:hAnsi="Verdana" w:cs="Arial"/>
          <w:spacing w:val="-4"/>
          <w:sz w:val="22"/>
          <w:szCs w:val="22"/>
        </w:rPr>
      </w:pPr>
    </w:p>
    <w:p w:rsidR="00330EEF" w:rsidRPr="00330EEF" w:rsidRDefault="0071729F" w:rsidP="00330EEF">
      <w:pPr>
        <w:jc w:val="center"/>
        <w:rPr>
          <w:rFonts w:ascii="Verdana" w:hAnsi="Verdana" w:cs="Arial"/>
          <w:b/>
          <w:color w:val="006600"/>
          <w:spacing w:val="-4"/>
          <w:sz w:val="56"/>
          <w:szCs w:val="56"/>
        </w:rPr>
      </w:pPr>
      <w:r>
        <w:rPr>
          <w:rFonts w:ascii="Verdana" w:hAnsi="Verdana" w:cs="Arial"/>
          <w:b/>
          <w:color w:val="006600"/>
          <w:spacing w:val="-4"/>
          <w:sz w:val="56"/>
          <w:szCs w:val="56"/>
        </w:rPr>
        <w:t>Informacja dotycząca</w:t>
      </w:r>
      <w:r w:rsidR="00437ECC" w:rsidRPr="00330EEF">
        <w:rPr>
          <w:rFonts w:ascii="Verdana" w:hAnsi="Verdana" w:cs="Arial"/>
          <w:b/>
          <w:color w:val="006600"/>
          <w:spacing w:val="-4"/>
          <w:sz w:val="56"/>
          <w:szCs w:val="56"/>
        </w:rPr>
        <w:t xml:space="preserve"> </w:t>
      </w:r>
      <w:r>
        <w:rPr>
          <w:rFonts w:ascii="Verdana" w:hAnsi="Verdana" w:cs="Arial"/>
          <w:b/>
          <w:color w:val="006600"/>
          <w:spacing w:val="-4"/>
          <w:sz w:val="56"/>
          <w:szCs w:val="56"/>
        </w:rPr>
        <w:br/>
      </w:r>
      <w:r w:rsidR="00F02D5A" w:rsidRPr="00330EEF">
        <w:rPr>
          <w:rFonts w:ascii="Verdana" w:hAnsi="Verdana" w:cs="Arial"/>
          <w:b/>
          <w:color w:val="006600"/>
          <w:spacing w:val="-4"/>
          <w:sz w:val="56"/>
          <w:szCs w:val="56"/>
        </w:rPr>
        <w:t>handl</w:t>
      </w:r>
      <w:r w:rsidR="00437ECC" w:rsidRPr="00330EEF">
        <w:rPr>
          <w:rFonts w:ascii="Verdana" w:hAnsi="Verdana" w:cs="Arial"/>
          <w:b/>
          <w:color w:val="006600"/>
          <w:spacing w:val="-4"/>
          <w:sz w:val="56"/>
          <w:szCs w:val="56"/>
        </w:rPr>
        <w:t>u</w:t>
      </w:r>
      <w:r w:rsidR="00F02D5A" w:rsidRPr="00330EEF">
        <w:rPr>
          <w:rFonts w:ascii="Verdana" w:hAnsi="Verdana" w:cs="Arial"/>
          <w:b/>
          <w:color w:val="006600"/>
          <w:spacing w:val="-4"/>
          <w:sz w:val="56"/>
          <w:szCs w:val="56"/>
        </w:rPr>
        <w:t xml:space="preserve"> zagraniczn</w:t>
      </w:r>
      <w:r w:rsidR="00437ECC" w:rsidRPr="00330EEF">
        <w:rPr>
          <w:rFonts w:ascii="Verdana" w:hAnsi="Verdana" w:cs="Arial"/>
          <w:b/>
          <w:color w:val="006600"/>
          <w:spacing w:val="-4"/>
          <w:sz w:val="56"/>
          <w:szCs w:val="56"/>
        </w:rPr>
        <w:t>ego</w:t>
      </w:r>
      <w:r w:rsidR="00755D13" w:rsidRPr="00330EEF">
        <w:rPr>
          <w:rFonts w:ascii="Verdana" w:hAnsi="Verdana" w:cs="Arial"/>
          <w:b/>
          <w:color w:val="006600"/>
          <w:spacing w:val="-4"/>
          <w:sz w:val="56"/>
          <w:szCs w:val="56"/>
        </w:rPr>
        <w:t xml:space="preserve"> </w:t>
      </w:r>
      <w:r w:rsidR="00F02D5A" w:rsidRPr="00330EEF">
        <w:rPr>
          <w:rFonts w:ascii="Verdana" w:hAnsi="Verdana" w:cs="Arial"/>
          <w:b/>
          <w:color w:val="006600"/>
          <w:spacing w:val="-4"/>
          <w:sz w:val="56"/>
          <w:szCs w:val="56"/>
        </w:rPr>
        <w:t>towarami rolno</w:t>
      </w:r>
      <w:r w:rsidR="0038590C">
        <w:rPr>
          <w:rFonts w:ascii="Verdana" w:hAnsi="Verdana" w:cs="Arial"/>
          <w:b/>
          <w:color w:val="006600"/>
          <w:spacing w:val="-4"/>
          <w:sz w:val="56"/>
          <w:szCs w:val="56"/>
        </w:rPr>
        <w:t>–</w:t>
      </w:r>
      <w:r w:rsidR="00F02D5A" w:rsidRPr="00330EEF">
        <w:rPr>
          <w:rFonts w:ascii="Verdana" w:hAnsi="Verdana" w:cs="Arial"/>
          <w:b/>
          <w:color w:val="006600"/>
          <w:spacing w:val="-4"/>
          <w:sz w:val="56"/>
          <w:szCs w:val="56"/>
        </w:rPr>
        <w:t xml:space="preserve">spożywczymi </w:t>
      </w:r>
      <w:r w:rsidR="00755D13" w:rsidRPr="00330EEF">
        <w:rPr>
          <w:rFonts w:ascii="Verdana" w:hAnsi="Verdana" w:cs="Arial"/>
          <w:b/>
          <w:color w:val="006600"/>
          <w:spacing w:val="-4"/>
          <w:sz w:val="56"/>
          <w:szCs w:val="56"/>
        </w:rPr>
        <w:br/>
      </w:r>
      <w:r w:rsidR="00330EEF" w:rsidRPr="00330EEF">
        <w:rPr>
          <w:rFonts w:ascii="Verdana" w:hAnsi="Verdana" w:cs="Arial"/>
          <w:b/>
          <w:color w:val="006600"/>
          <w:spacing w:val="-4"/>
          <w:sz w:val="56"/>
          <w:szCs w:val="56"/>
        </w:rPr>
        <w:t xml:space="preserve">w okresie I-VII 2017 r. </w:t>
      </w:r>
    </w:p>
    <w:p w:rsidR="007C3722" w:rsidRPr="007C3722" w:rsidRDefault="00330EEF" w:rsidP="00330EEF">
      <w:pPr>
        <w:jc w:val="center"/>
        <w:rPr>
          <w:rFonts w:ascii="Verdana" w:hAnsi="Verdana" w:cs="Arial"/>
          <w:b/>
          <w:color w:val="006600"/>
          <w:spacing w:val="-4"/>
          <w:sz w:val="40"/>
          <w:szCs w:val="40"/>
        </w:rPr>
      </w:pPr>
      <w:r w:rsidRPr="007C3722">
        <w:rPr>
          <w:rFonts w:ascii="Verdana" w:hAnsi="Verdana" w:cs="Arial"/>
          <w:b/>
          <w:color w:val="006600"/>
          <w:spacing w:val="-4"/>
          <w:sz w:val="40"/>
          <w:szCs w:val="40"/>
        </w:rPr>
        <w:t xml:space="preserve"> </w:t>
      </w:r>
      <w:r w:rsidR="007C3722" w:rsidRPr="007C3722">
        <w:rPr>
          <w:rFonts w:ascii="Verdana" w:hAnsi="Verdana" w:cs="Arial"/>
          <w:b/>
          <w:color w:val="006600"/>
          <w:spacing w:val="-4"/>
          <w:sz w:val="40"/>
          <w:szCs w:val="40"/>
        </w:rPr>
        <w:t>(wg podstawowych grup towarowych</w:t>
      </w:r>
      <w:r w:rsidR="001A65E9">
        <w:rPr>
          <w:rFonts w:ascii="Verdana" w:hAnsi="Verdana" w:cs="Arial"/>
          <w:b/>
          <w:color w:val="006600"/>
          <w:spacing w:val="-4"/>
          <w:sz w:val="40"/>
          <w:szCs w:val="40"/>
        </w:rPr>
        <w:t xml:space="preserve"> </w:t>
      </w:r>
      <w:r w:rsidR="001A65E9">
        <w:rPr>
          <w:rFonts w:ascii="Verdana" w:hAnsi="Verdana" w:cs="Arial"/>
          <w:b/>
          <w:color w:val="006600"/>
          <w:spacing w:val="-4"/>
          <w:sz w:val="40"/>
          <w:szCs w:val="40"/>
        </w:rPr>
        <w:br/>
        <w:t>z elementami prognozy</w:t>
      </w:r>
      <w:r w:rsidR="0071729F">
        <w:rPr>
          <w:rFonts w:ascii="Verdana" w:hAnsi="Verdana" w:cs="Arial"/>
          <w:b/>
          <w:color w:val="006600"/>
          <w:spacing w:val="-4"/>
          <w:sz w:val="40"/>
          <w:szCs w:val="40"/>
        </w:rPr>
        <w:t xml:space="preserve"> na cały 2017 r.</w:t>
      </w:r>
      <w:r w:rsidR="001A65E9">
        <w:rPr>
          <w:rFonts w:ascii="Verdana" w:hAnsi="Verdana" w:cs="Arial"/>
          <w:b/>
          <w:color w:val="006600"/>
          <w:spacing w:val="-4"/>
          <w:sz w:val="40"/>
          <w:szCs w:val="40"/>
        </w:rPr>
        <w:t>)</w:t>
      </w:r>
    </w:p>
    <w:p w:rsidR="00F02D5A" w:rsidRPr="00755D13" w:rsidRDefault="00F02D5A" w:rsidP="00F02D5A">
      <w:pPr>
        <w:spacing w:line="360" w:lineRule="auto"/>
        <w:rPr>
          <w:rFonts w:ascii="Verdana" w:hAnsi="Verdana" w:cs="Arial"/>
          <w:spacing w:val="-4"/>
          <w:sz w:val="22"/>
          <w:szCs w:val="22"/>
        </w:rPr>
      </w:pPr>
    </w:p>
    <w:p w:rsidR="00F02D5A" w:rsidRPr="00755D13" w:rsidRDefault="00F02D5A" w:rsidP="00F02D5A">
      <w:pPr>
        <w:spacing w:line="360" w:lineRule="auto"/>
        <w:rPr>
          <w:rFonts w:ascii="Verdana" w:hAnsi="Verdana" w:cs="Arial"/>
          <w:spacing w:val="-4"/>
          <w:sz w:val="22"/>
          <w:szCs w:val="22"/>
        </w:rPr>
      </w:pPr>
    </w:p>
    <w:p w:rsidR="00F02D5A" w:rsidRPr="00755D13" w:rsidRDefault="00F02D5A" w:rsidP="00F02D5A">
      <w:pPr>
        <w:spacing w:line="360" w:lineRule="auto"/>
        <w:rPr>
          <w:rFonts w:ascii="Verdana" w:hAnsi="Verdana" w:cs="Arial"/>
          <w:spacing w:val="-4"/>
          <w:sz w:val="22"/>
          <w:szCs w:val="22"/>
        </w:rPr>
      </w:pPr>
    </w:p>
    <w:p w:rsidR="00F02D5A" w:rsidRPr="00755D13" w:rsidRDefault="00F02D5A" w:rsidP="00F02D5A">
      <w:pPr>
        <w:spacing w:line="360" w:lineRule="auto"/>
        <w:rPr>
          <w:rFonts w:ascii="Verdana" w:hAnsi="Verdana" w:cs="Arial"/>
          <w:spacing w:val="-4"/>
          <w:sz w:val="22"/>
          <w:szCs w:val="22"/>
        </w:rPr>
      </w:pPr>
    </w:p>
    <w:p w:rsidR="00F02D5A" w:rsidRPr="00755D13" w:rsidRDefault="00F02D5A" w:rsidP="00F02D5A">
      <w:pPr>
        <w:spacing w:line="360" w:lineRule="auto"/>
        <w:rPr>
          <w:rFonts w:ascii="Verdana" w:hAnsi="Verdana" w:cs="Arial"/>
          <w:spacing w:val="-4"/>
          <w:sz w:val="22"/>
          <w:szCs w:val="22"/>
        </w:rPr>
      </w:pPr>
    </w:p>
    <w:p w:rsidR="00F02D5A" w:rsidRPr="00755D13" w:rsidRDefault="00F02D5A" w:rsidP="00F02D5A">
      <w:pPr>
        <w:spacing w:line="360" w:lineRule="auto"/>
        <w:rPr>
          <w:rFonts w:ascii="Verdana" w:hAnsi="Verdana" w:cs="Arial"/>
          <w:spacing w:val="-4"/>
          <w:sz w:val="22"/>
          <w:szCs w:val="22"/>
        </w:rPr>
      </w:pPr>
    </w:p>
    <w:p w:rsidR="00F02D5A" w:rsidRPr="00755D13" w:rsidRDefault="00F02D5A" w:rsidP="00F02D5A">
      <w:pPr>
        <w:spacing w:line="360" w:lineRule="auto"/>
        <w:rPr>
          <w:rFonts w:ascii="Verdana" w:hAnsi="Verdana" w:cs="Arial"/>
          <w:spacing w:val="-4"/>
          <w:sz w:val="22"/>
          <w:szCs w:val="22"/>
        </w:rPr>
      </w:pPr>
    </w:p>
    <w:p w:rsidR="007C3722" w:rsidRPr="007C3722" w:rsidRDefault="007C3722" w:rsidP="007C3722">
      <w:pPr>
        <w:spacing w:line="360" w:lineRule="auto"/>
        <w:jc w:val="center"/>
        <w:rPr>
          <w:rFonts w:ascii="Verdana" w:hAnsi="Verdana" w:cs="Arial"/>
          <w:b/>
          <w:color w:val="006600"/>
          <w:spacing w:val="-4"/>
          <w:sz w:val="28"/>
          <w:szCs w:val="28"/>
        </w:rPr>
      </w:pPr>
      <w:r w:rsidRPr="007C3722">
        <w:rPr>
          <w:rFonts w:ascii="Verdana" w:hAnsi="Verdana" w:cs="Arial"/>
          <w:b/>
          <w:color w:val="006600"/>
          <w:spacing w:val="-4"/>
          <w:sz w:val="28"/>
          <w:szCs w:val="28"/>
        </w:rPr>
        <w:t>Opracowano w Biurze Analiz i Strategii</w:t>
      </w:r>
    </w:p>
    <w:p w:rsidR="00F02D5A" w:rsidRPr="007C3722" w:rsidRDefault="007C3722" w:rsidP="007C3722">
      <w:pPr>
        <w:spacing w:line="360" w:lineRule="auto"/>
        <w:jc w:val="center"/>
        <w:rPr>
          <w:rFonts w:ascii="Verdana" w:hAnsi="Verdana" w:cs="Arial"/>
          <w:b/>
          <w:color w:val="006600"/>
          <w:spacing w:val="-4"/>
          <w:sz w:val="28"/>
          <w:szCs w:val="28"/>
        </w:rPr>
      </w:pPr>
      <w:r w:rsidRPr="007C3722">
        <w:rPr>
          <w:rFonts w:ascii="Verdana" w:hAnsi="Verdana" w:cs="Arial"/>
          <w:b/>
          <w:color w:val="006600"/>
          <w:spacing w:val="-4"/>
          <w:sz w:val="28"/>
          <w:szCs w:val="28"/>
        </w:rPr>
        <w:t>Krajowego Ośrodka Wsparcia Rolnictwa</w:t>
      </w:r>
    </w:p>
    <w:p w:rsidR="000D6FC6" w:rsidRDefault="000D6FC6" w:rsidP="00F02D5A">
      <w:pPr>
        <w:spacing w:line="360" w:lineRule="auto"/>
        <w:jc w:val="center"/>
        <w:rPr>
          <w:rFonts w:ascii="Verdana" w:hAnsi="Verdana" w:cs="Arial"/>
          <w:b/>
          <w:spacing w:val="-4"/>
        </w:rPr>
      </w:pPr>
    </w:p>
    <w:p w:rsidR="00F02D5A" w:rsidRDefault="00AF0617" w:rsidP="00F02D5A">
      <w:pPr>
        <w:spacing w:line="360" w:lineRule="auto"/>
        <w:jc w:val="center"/>
        <w:rPr>
          <w:rFonts w:ascii="Verdana" w:hAnsi="Verdana" w:cs="Arial"/>
          <w:b/>
          <w:spacing w:val="-4"/>
        </w:rPr>
      </w:pPr>
      <w:r w:rsidRPr="00C564A0">
        <w:rPr>
          <w:rFonts w:ascii="Verdana" w:hAnsi="Verdana" w:cs="Arial"/>
          <w:b/>
          <w:spacing w:val="-4"/>
        </w:rPr>
        <w:t>Warszawa,</w:t>
      </w:r>
      <w:r w:rsidR="007C3722" w:rsidRPr="00C564A0">
        <w:rPr>
          <w:rFonts w:ascii="Verdana" w:hAnsi="Verdana" w:cs="Arial"/>
          <w:b/>
          <w:spacing w:val="-4"/>
        </w:rPr>
        <w:t xml:space="preserve"> </w:t>
      </w:r>
      <w:r w:rsidR="00700D1C">
        <w:rPr>
          <w:rFonts w:ascii="Verdana" w:hAnsi="Verdana" w:cs="Arial"/>
          <w:b/>
          <w:spacing w:val="-4"/>
        </w:rPr>
        <w:t>październik</w:t>
      </w:r>
      <w:r w:rsidR="007C3722" w:rsidRPr="00C564A0">
        <w:rPr>
          <w:rFonts w:ascii="Verdana" w:hAnsi="Verdana" w:cs="Arial"/>
          <w:b/>
          <w:spacing w:val="-4"/>
        </w:rPr>
        <w:t xml:space="preserve"> </w:t>
      </w:r>
      <w:r w:rsidR="00F02D5A" w:rsidRPr="00C564A0">
        <w:rPr>
          <w:rFonts w:ascii="Verdana" w:hAnsi="Verdana" w:cs="Arial"/>
          <w:b/>
          <w:spacing w:val="-4"/>
        </w:rPr>
        <w:t>2017 r.</w:t>
      </w:r>
    </w:p>
    <w:p w:rsidR="00520E97" w:rsidRDefault="00520E97" w:rsidP="00330EEF">
      <w:pPr>
        <w:spacing w:before="120" w:line="36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330EEF" w:rsidRPr="00F935D3" w:rsidRDefault="00330EEF" w:rsidP="00330EEF">
      <w:pPr>
        <w:spacing w:before="120" w:line="360" w:lineRule="auto"/>
        <w:jc w:val="center"/>
        <w:rPr>
          <w:rFonts w:ascii="Verdana" w:hAnsi="Verdana" w:cs="Arial"/>
          <w:b/>
          <w:sz w:val="28"/>
          <w:szCs w:val="28"/>
        </w:rPr>
      </w:pPr>
      <w:r w:rsidRPr="00F935D3">
        <w:rPr>
          <w:rFonts w:ascii="Verdana" w:hAnsi="Verdana" w:cs="Arial"/>
          <w:b/>
          <w:sz w:val="28"/>
          <w:szCs w:val="28"/>
        </w:rPr>
        <w:t>Polski handel zagraniczny towarami rolno</w:t>
      </w:r>
      <w:r w:rsidR="00A50932">
        <w:rPr>
          <w:rFonts w:ascii="Verdana" w:hAnsi="Verdana" w:cs="Arial"/>
          <w:b/>
          <w:sz w:val="28"/>
          <w:szCs w:val="28"/>
        </w:rPr>
        <w:t>–</w:t>
      </w:r>
      <w:r w:rsidRPr="00F935D3">
        <w:rPr>
          <w:rFonts w:ascii="Verdana" w:hAnsi="Verdana" w:cs="Arial"/>
          <w:b/>
          <w:sz w:val="28"/>
          <w:szCs w:val="28"/>
        </w:rPr>
        <w:t xml:space="preserve">spożywczymi </w:t>
      </w:r>
      <w:r w:rsidRPr="00F935D3">
        <w:rPr>
          <w:rFonts w:ascii="Verdana" w:hAnsi="Verdana" w:cs="Arial"/>
          <w:b/>
          <w:sz w:val="28"/>
          <w:szCs w:val="28"/>
        </w:rPr>
        <w:br/>
        <w:t>w okresie siedmiu miesięcy 2017 r.</w:t>
      </w:r>
      <w:r w:rsidRPr="00F935D3">
        <w:rPr>
          <w:rStyle w:val="Odwoanieprzypisudolnego"/>
          <w:rFonts w:ascii="Verdana" w:hAnsi="Verdana" w:cs="Arial"/>
          <w:b/>
          <w:sz w:val="28"/>
          <w:szCs w:val="28"/>
        </w:rPr>
        <w:footnoteReference w:id="1"/>
      </w:r>
      <w:r w:rsidRPr="00F935D3">
        <w:rPr>
          <w:rFonts w:ascii="Verdana" w:hAnsi="Verdana" w:cs="Arial"/>
          <w:b/>
          <w:sz w:val="28"/>
          <w:szCs w:val="28"/>
        </w:rPr>
        <w:t xml:space="preserve"> </w:t>
      </w:r>
    </w:p>
    <w:p w:rsidR="00330EEF" w:rsidRDefault="00330EEF" w:rsidP="00330EEF">
      <w:pPr>
        <w:spacing w:before="120" w:line="36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520E97" w:rsidRPr="00F935D3" w:rsidRDefault="00520E97" w:rsidP="00330EEF">
      <w:pPr>
        <w:spacing w:before="120" w:line="36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330EEF" w:rsidRPr="007153F9" w:rsidRDefault="00330EEF" w:rsidP="00330EEF">
      <w:pPr>
        <w:spacing w:line="360" w:lineRule="auto"/>
        <w:jc w:val="both"/>
        <w:rPr>
          <w:rFonts w:ascii="Verdana" w:hAnsi="Verdana" w:cs="Arial"/>
          <w:b/>
          <w:sz w:val="22"/>
          <w:szCs w:val="22"/>
          <w:highlight w:val="yellow"/>
        </w:rPr>
      </w:pPr>
      <w:r w:rsidRPr="007153F9">
        <w:rPr>
          <w:rFonts w:ascii="Verdana" w:hAnsi="Verdana" w:cs="Arial"/>
          <w:b/>
          <w:sz w:val="22"/>
          <w:szCs w:val="22"/>
        </w:rPr>
        <w:t>Rok 2017 to kolejny rok wzrostu obrotów polskiego handlu zagranicznego towarami rolno</w:t>
      </w:r>
      <w:r w:rsidR="0038590C">
        <w:rPr>
          <w:rFonts w:ascii="Verdana" w:hAnsi="Verdana" w:cs="Arial"/>
          <w:b/>
          <w:sz w:val="22"/>
          <w:szCs w:val="22"/>
        </w:rPr>
        <w:t>–</w:t>
      </w:r>
      <w:r w:rsidRPr="007153F9">
        <w:rPr>
          <w:rFonts w:ascii="Verdana" w:hAnsi="Verdana" w:cs="Arial"/>
          <w:b/>
          <w:sz w:val="22"/>
          <w:szCs w:val="22"/>
        </w:rPr>
        <w:t xml:space="preserve">spożywczymi. W porównaniu z siedmioma miesiącami 2016 r. wartość eksportu wzrosła do 14,9 mld euro (o 9,4%). Oznacza to kontynuację obserwowanego od akcesji Polski do UE rosnącego trendu. Do 10,8 mld euro (o 11,2%) wzrosła również wartość importu. </w:t>
      </w:r>
    </w:p>
    <w:p w:rsidR="00330EEF" w:rsidRPr="007153F9" w:rsidRDefault="00330EEF" w:rsidP="00330EEF">
      <w:pPr>
        <w:spacing w:line="360" w:lineRule="auto"/>
        <w:jc w:val="both"/>
        <w:rPr>
          <w:rFonts w:ascii="Verdana" w:hAnsi="Verdana" w:cs="Arial"/>
          <w:spacing w:val="-4"/>
          <w:sz w:val="22"/>
          <w:szCs w:val="22"/>
        </w:rPr>
      </w:pPr>
      <w:r w:rsidRPr="007153F9">
        <w:rPr>
          <w:rFonts w:ascii="Verdana" w:hAnsi="Verdana" w:cs="Arial"/>
          <w:spacing w:val="-4"/>
          <w:sz w:val="22"/>
          <w:szCs w:val="22"/>
        </w:rPr>
        <w:t xml:space="preserve">Dodatnie saldo handlu zagranicznego wyniosło 4,1 mld euro i było o 5% większe niż </w:t>
      </w:r>
      <w:r w:rsidR="007153F9">
        <w:rPr>
          <w:rFonts w:ascii="Verdana" w:hAnsi="Verdana" w:cs="Arial"/>
          <w:spacing w:val="-4"/>
          <w:sz w:val="22"/>
          <w:szCs w:val="22"/>
        </w:rPr>
        <w:br/>
      </w:r>
      <w:r w:rsidRPr="007153F9">
        <w:rPr>
          <w:rFonts w:ascii="Verdana" w:hAnsi="Verdana" w:cs="Arial"/>
          <w:spacing w:val="-4"/>
          <w:sz w:val="22"/>
          <w:szCs w:val="22"/>
        </w:rPr>
        <w:t>w tym samym okresie poprzedniego roku. Udział towarów rolno</w:t>
      </w:r>
      <w:r w:rsidR="0038590C">
        <w:rPr>
          <w:rFonts w:ascii="Verdana" w:hAnsi="Verdana" w:cs="Arial"/>
          <w:spacing w:val="-4"/>
          <w:sz w:val="22"/>
          <w:szCs w:val="22"/>
        </w:rPr>
        <w:t>–</w:t>
      </w:r>
      <w:r w:rsidRPr="007153F9">
        <w:rPr>
          <w:rFonts w:ascii="Verdana" w:hAnsi="Verdana" w:cs="Arial"/>
          <w:spacing w:val="-4"/>
          <w:sz w:val="22"/>
          <w:szCs w:val="22"/>
        </w:rPr>
        <w:t xml:space="preserve">spożywczych </w:t>
      </w:r>
      <w:r w:rsidR="007153F9">
        <w:rPr>
          <w:rFonts w:ascii="Verdana" w:hAnsi="Verdana" w:cs="Arial"/>
          <w:spacing w:val="-4"/>
          <w:sz w:val="22"/>
          <w:szCs w:val="22"/>
        </w:rPr>
        <w:br/>
      </w:r>
      <w:r w:rsidRPr="007153F9">
        <w:rPr>
          <w:rFonts w:ascii="Verdana" w:hAnsi="Verdana" w:cs="Arial"/>
          <w:spacing w:val="-4"/>
          <w:sz w:val="22"/>
          <w:szCs w:val="22"/>
        </w:rPr>
        <w:t>w wartości ogółem polskiego eksportu, tak jak w roku poprzednim, wyniósł 13%.</w:t>
      </w:r>
    </w:p>
    <w:p w:rsidR="00330EEF" w:rsidRPr="00A50932" w:rsidRDefault="00330EEF" w:rsidP="00F04DB4">
      <w:pPr>
        <w:spacing w:before="60" w:after="60"/>
        <w:jc w:val="both"/>
        <w:rPr>
          <w:rFonts w:ascii="Verdana" w:hAnsi="Verdana" w:cs="Arial"/>
          <w:sz w:val="22"/>
          <w:szCs w:val="22"/>
        </w:rPr>
      </w:pPr>
      <w:r w:rsidRPr="00A50932">
        <w:rPr>
          <w:rFonts w:ascii="Verdana" w:hAnsi="Verdana" w:cs="Arial"/>
          <w:b/>
          <w:bCs/>
          <w:sz w:val="22"/>
          <w:szCs w:val="22"/>
        </w:rPr>
        <w:t>Handel zagraniczny produktami rolno</w:t>
      </w:r>
      <w:r w:rsidR="0038590C" w:rsidRPr="00A50932">
        <w:rPr>
          <w:rFonts w:ascii="Verdana" w:hAnsi="Verdana" w:cs="Arial"/>
          <w:b/>
          <w:bCs/>
          <w:sz w:val="22"/>
          <w:szCs w:val="22"/>
        </w:rPr>
        <w:t>–</w:t>
      </w:r>
      <w:r w:rsidRPr="00A50932">
        <w:rPr>
          <w:rFonts w:ascii="Verdana" w:hAnsi="Verdana" w:cs="Arial"/>
          <w:b/>
          <w:bCs/>
          <w:sz w:val="22"/>
          <w:szCs w:val="22"/>
        </w:rPr>
        <w:t xml:space="preserve">spożywczymi ogółem </w:t>
      </w:r>
    </w:p>
    <w:p w:rsidR="00330EEF" w:rsidRPr="00F935D3" w:rsidRDefault="00330EEF" w:rsidP="001A65E9">
      <w:pPr>
        <w:jc w:val="center"/>
        <w:rPr>
          <w:rFonts w:ascii="Verdana" w:hAnsi="Verdana" w:cs="Arial"/>
          <w:bCs/>
          <w:sz w:val="20"/>
        </w:rPr>
      </w:pPr>
      <w:r>
        <w:rPr>
          <w:noProof/>
        </w:rPr>
        <w:drawing>
          <wp:inline distT="0" distB="0" distL="0" distR="0" wp14:anchorId="56ADD02C" wp14:editId="65180E69">
            <wp:extent cx="6039293" cy="3306725"/>
            <wp:effectExtent l="0" t="0" r="19050" b="27305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30EEF" w:rsidRPr="00F935D3" w:rsidRDefault="00330EEF" w:rsidP="007153F9">
      <w:pPr>
        <w:spacing w:before="120"/>
        <w:rPr>
          <w:rFonts w:ascii="Verdana" w:hAnsi="Verdana" w:cs="Arial"/>
          <w:bCs/>
          <w:i/>
          <w:sz w:val="20"/>
        </w:rPr>
      </w:pPr>
      <w:r w:rsidRPr="00F935D3">
        <w:rPr>
          <w:rFonts w:ascii="Verdana" w:hAnsi="Verdana" w:cs="Arial"/>
          <w:bCs/>
          <w:i/>
          <w:sz w:val="20"/>
        </w:rPr>
        <w:t>Saldo obliczone na podstawie danych z dokładnością</w:t>
      </w:r>
      <w:r w:rsidR="007153F9">
        <w:rPr>
          <w:rFonts w:ascii="Verdana" w:hAnsi="Verdana" w:cs="Arial"/>
          <w:bCs/>
          <w:i/>
          <w:sz w:val="20"/>
        </w:rPr>
        <w:t xml:space="preserve"> do kilku miejsc dziesiętnych.</w:t>
      </w:r>
    </w:p>
    <w:p w:rsidR="00330EEF" w:rsidRPr="00F935D3" w:rsidRDefault="00330EEF" w:rsidP="007153F9">
      <w:pPr>
        <w:jc w:val="both"/>
        <w:rPr>
          <w:rFonts w:ascii="Verdana" w:hAnsi="Verdana" w:cs="Arial"/>
        </w:rPr>
      </w:pPr>
      <w:r w:rsidRPr="00D751C5">
        <w:rPr>
          <w:rFonts w:ascii="Verdana" w:hAnsi="Verdana" w:cs="Arial"/>
          <w:bCs/>
          <w:spacing w:val="-4"/>
          <w:sz w:val="20"/>
        </w:rPr>
        <w:t>Źródło: opracowanie Biura Analiz i Strategii Krajowego Ośrodka Wsparcia Rolnictwa na podstawie</w:t>
      </w:r>
      <w:r w:rsidRPr="00F935D3">
        <w:rPr>
          <w:rFonts w:ascii="Verdana" w:hAnsi="Verdana" w:cs="Arial"/>
          <w:bCs/>
          <w:sz w:val="20"/>
        </w:rPr>
        <w:t xml:space="preserve"> danych Ministerstwa Finansów, rok 201</w:t>
      </w:r>
      <w:r>
        <w:rPr>
          <w:rFonts w:ascii="Verdana" w:hAnsi="Verdana" w:cs="Arial"/>
          <w:bCs/>
          <w:sz w:val="20"/>
        </w:rPr>
        <w:t>7</w:t>
      </w:r>
      <w:r w:rsidRPr="00F935D3">
        <w:rPr>
          <w:rFonts w:ascii="Verdana" w:hAnsi="Verdana" w:cs="Arial"/>
          <w:bCs/>
          <w:sz w:val="20"/>
        </w:rPr>
        <w:t xml:space="preserve"> – dane wstępne.</w:t>
      </w:r>
    </w:p>
    <w:p w:rsidR="00330EEF" w:rsidRPr="007153F9" w:rsidRDefault="00330EEF" w:rsidP="00D34400">
      <w:pPr>
        <w:spacing w:line="360" w:lineRule="auto"/>
        <w:jc w:val="both"/>
        <w:rPr>
          <w:rFonts w:ascii="Verdana" w:hAnsi="Verdana" w:cs="Arial"/>
          <w:b/>
          <w:sz w:val="22"/>
          <w:szCs w:val="22"/>
        </w:rPr>
      </w:pPr>
      <w:r w:rsidRPr="007153F9">
        <w:rPr>
          <w:rFonts w:ascii="Verdana" w:hAnsi="Verdana" w:cs="Arial"/>
          <w:b/>
          <w:sz w:val="22"/>
          <w:szCs w:val="22"/>
        </w:rPr>
        <w:lastRenderedPageBreak/>
        <w:t>Kierunki eksportu</w:t>
      </w:r>
    </w:p>
    <w:p w:rsidR="00330EEF" w:rsidRPr="007153F9" w:rsidRDefault="00330EEF" w:rsidP="00D34400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>Produkty rolno</w:t>
      </w:r>
      <w:r w:rsidR="00520E97"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>spożywcze są eksportowane z Polski przede wszystkim na rynek unijny. W okresie siedmiu miesięcy 2017 r. wartość eksportu tych towarów do krajów Unii Europejskiej wyniosła 12 mld euro i była o 8,1% większa niż w okresie styczeń–lipiec 2016 r.</w:t>
      </w:r>
      <w:r w:rsidRPr="007153F9">
        <w:rPr>
          <w:rFonts w:ascii="Verdana" w:hAnsi="Verdana" w:cs="Arial"/>
          <w:spacing w:val="-4"/>
          <w:sz w:val="22"/>
          <w:szCs w:val="22"/>
        </w:rPr>
        <w:t xml:space="preserve"> Udział krajów unijnych </w:t>
      </w:r>
      <w:r w:rsidRPr="007153F9">
        <w:rPr>
          <w:rFonts w:ascii="Verdana" w:hAnsi="Verdana" w:cs="Arial"/>
          <w:spacing w:val="-8"/>
          <w:sz w:val="22"/>
          <w:szCs w:val="22"/>
        </w:rPr>
        <w:t xml:space="preserve">w </w:t>
      </w:r>
      <w:r w:rsidR="0038590C">
        <w:rPr>
          <w:rFonts w:ascii="Verdana" w:hAnsi="Verdana" w:cs="Arial"/>
          <w:spacing w:val="-8"/>
          <w:sz w:val="22"/>
          <w:szCs w:val="22"/>
        </w:rPr>
        <w:t>polskim eksporcie towarów rolno–</w:t>
      </w:r>
      <w:r w:rsidR="0038590C">
        <w:rPr>
          <w:rFonts w:ascii="Verdana" w:hAnsi="Verdana" w:cs="Arial"/>
          <w:spacing w:val="-8"/>
          <w:sz w:val="22"/>
          <w:szCs w:val="22"/>
        </w:rPr>
        <w:br/>
        <w:t>–</w:t>
      </w:r>
      <w:r w:rsidRPr="007153F9">
        <w:rPr>
          <w:rFonts w:ascii="Verdana" w:hAnsi="Verdana" w:cs="Arial"/>
          <w:spacing w:val="-8"/>
          <w:sz w:val="22"/>
          <w:szCs w:val="22"/>
        </w:rPr>
        <w:t>spożywczych zmniejszył się o 1 p.p., do 80%.</w:t>
      </w:r>
    </w:p>
    <w:p w:rsidR="00330EEF" w:rsidRPr="007153F9" w:rsidRDefault="00330EEF" w:rsidP="00330EEF">
      <w:pPr>
        <w:spacing w:line="360" w:lineRule="auto"/>
        <w:jc w:val="both"/>
        <w:rPr>
          <w:rFonts w:ascii="Verdana" w:hAnsi="Verdana" w:cs="Arial"/>
          <w:b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 xml:space="preserve">Głównym partnerem handlowym Polski pozostały Niemcy. W okresie styczeń–lipiec 2017 r. eksport do tego kraju był o 12,5% większy niż rok wcześniej i wyniósł </w:t>
      </w:r>
      <w:r w:rsidR="007153F9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>3,3 mld euro. Tym samym udział Niemiec w wartości eksportu towarów rolno</w:t>
      </w:r>
      <w:r w:rsidR="0038590C">
        <w:rPr>
          <w:rFonts w:ascii="Verdana" w:hAnsi="Verdana" w:cs="Arial"/>
          <w:sz w:val="22"/>
          <w:szCs w:val="22"/>
        </w:rPr>
        <w:t>–</w:t>
      </w:r>
      <w:r w:rsidR="00DE2305">
        <w:rPr>
          <w:rFonts w:ascii="Verdana" w:hAnsi="Verdana" w:cs="Arial"/>
          <w:sz w:val="22"/>
          <w:szCs w:val="22"/>
        </w:rPr>
        <w:br/>
        <w:t>–</w:t>
      </w:r>
      <w:r w:rsidRPr="007153F9">
        <w:rPr>
          <w:rFonts w:ascii="Verdana" w:hAnsi="Verdana" w:cs="Arial"/>
          <w:sz w:val="22"/>
          <w:szCs w:val="22"/>
        </w:rPr>
        <w:t>spożywczych z Polski utrzymał się na poziomie około 22%. Niemcy były największym odbiorcą m.in.: ryb i ich przetworów, przetworów zbożowych, produktów mleczar</w:t>
      </w:r>
      <w:r w:rsidR="001A32E8">
        <w:rPr>
          <w:rFonts w:ascii="Verdana" w:hAnsi="Verdana" w:cs="Arial"/>
          <w:sz w:val="22"/>
          <w:szCs w:val="22"/>
        </w:rPr>
        <w:t xml:space="preserve">skich, mięsa drobiowego, warzyw, </w:t>
      </w:r>
      <w:r w:rsidRPr="007153F9">
        <w:rPr>
          <w:rFonts w:ascii="Verdana" w:hAnsi="Verdana" w:cs="Arial"/>
          <w:sz w:val="22"/>
          <w:szCs w:val="22"/>
        </w:rPr>
        <w:t>ziarna zbóż oraz soków owocowych i warzywnych.</w:t>
      </w:r>
    </w:p>
    <w:p w:rsidR="00330EEF" w:rsidRPr="003762C4" w:rsidRDefault="00330EEF" w:rsidP="001F2156">
      <w:pPr>
        <w:spacing w:before="120" w:after="60"/>
        <w:jc w:val="both"/>
        <w:rPr>
          <w:rFonts w:ascii="Verdana" w:hAnsi="Verdana" w:cs="Arial"/>
          <w:b/>
          <w:bCs/>
          <w:spacing w:val="-8"/>
        </w:rPr>
      </w:pPr>
      <w:r w:rsidRPr="007153F9">
        <w:rPr>
          <w:rFonts w:ascii="Verdana" w:hAnsi="Verdana" w:cs="Arial"/>
          <w:b/>
          <w:bCs/>
          <w:spacing w:val="-8"/>
          <w:sz w:val="22"/>
          <w:szCs w:val="22"/>
        </w:rPr>
        <w:t>Struktura geograficzna polskiego eksportu rolno</w:t>
      </w:r>
      <w:r w:rsidR="0038590C">
        <w:rPr>
          <w:rFonts w:ascii="Verdana" w:hAnsi="Verdana" w:cs="Arial"/>
          <w:b/>
          <w:bCs/>
          <w:spacing w:val="-8"/>
          <w:sz w:val="22"/>
          <w:szCs w:val="22"/>
        </w:rPr>
        <w:t>–</w:t>
      </w:r>
      <w:r w:rsidRPr="007153F9">
        <w:rPr>
          <w:rFonts w:ascii="Verdana" w:hAnsi="Verdana" w:cs="Arial"/>
          <w:b/>
          <w:bCs/>
          <w:spacing w:val="-8"/>
          <w:sz w:val="22"/>
          <w:szCs w:val="22"/>
        </w:rPr>
        <w:t>spożywczego w okresie styczeń–lipiec 2017</w:t>
      </w:r>
      <w:r w:rsidRPr="003762C4">
        <w:rPr>
          <w:rFonts w:ascii="Verdana" w:hAnsi="Verdana" w:cs="Arial"/>
          <w:b/>
          <w:bCs/>
          <w:spacing w:val="-8"/>
        </w:rPr>
        <w:t xml:space="preserve"> r.</w:t>
      </w:r>
    </w:p>
    <w:p w:rsidR="00330EEF" w:rsidRPr="00F935D3" w:rsidRDefault="00330EEF" w:rsidP="00330EEF">
      <w:pPr>
        <w:tabs>
          <w:tab w:val="left" w:pos="9214"/>
        </w:tabs>
        <w:spacing w:after="120"/>
        <w:jc w:val="both"/>
        <w:rPr>
          <w:rFonts w:ascii="Verdana" w:hAnsi="Verdana" w:cs="Arial"/>
          <w:bCs/>
          <w:sz w:val="20"/>
        </w:rPr>
      </w:pPr>
      <w:r>
        <w:rPr>
          <w:noProof/>
        </w:rPr>
        <w:drawing>
          <wp:inline distT="0" distB="0" distL="0" distR="0" wp14:anchorId="6FFFC028" wp14:editId="417BB093">
            <wp:extent cx="5950424" cy="3821373"/>
            <wp:effectExtent l="0" t="0" r="12700" b="27305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F935D3">
        <w:rPr>
          <w:rFonts w:ascii="Verdana" w:hAnsi="Verdana" w:cs="Arial"/>
          <w:bCs/>
          <w:sz w:val="20"/>
        </w:rPr>
        <w:t xml:space="preserve">Źródło: opracowanie </w:t>
      </w:r>
      <w:r>
        <w:rPr>
          <w:rFonts w:ascii="Verdana" w:hAnsi="Verdana" w:cs="Arial"/>
          <w:bCs/>
          <w:sz w:val="20"/>
        </w:rPr>
        <w:t>Biura Analiz i Strategii Krajowego Ośrodka Wsparcia Rolnictwa</w:t>
      </w:r>
      <w:r>
        <w:rPr>
          <w:rFonts w:ascii="Verdana" w:hAnsi="Verdana" w:cs="Arial"/>
          <w:bCs/>
          <w:sz w:val="20"/>
        </w:rPr>
        <w:br/>
      </w:r>
      <w:r w:rsidRPr="00F935D3">
        <w:rPr>
          <w:rFonts w:ascii="Verdana" w:hAnsi="Verdana" w:cs="Arial"/>
          <w:bCs/>
          <w:sz w:val="20"/>
        </w:rPr>
        <w:t>na podstawie wstępnych danych Ministerstwa Finansów.</w:t>
      </w:r>
    </w:p>
    <w:p w:rsidR="00330EEF" w:rsidRPr="007153F9" w:rsidRDefault="00330EEF" w:rsidP="00330EEF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>W okresie siedmiu miesięcy 2017 r. zwiększeniu uległ wywóz towarów rolno</w:t>
      </w:r>
      <w:r w:rsidR="0046786D">
        <w:rPr>
          <w:rFonts w:ascii="Verdana" w:hAnsi="Verdana" w:cs="Arial"/>
          <w:sz w:val="22"/>
          <w:szCs w:val="22"/>
        </w:rPr>
        <w:t>–</w:t>
      </w:r>
      <w:r w:rsidR="0046786D">
        <w:rPr>
          <w:rFonts w:ascii="Verdana" w:hAnsi="Verdana" w:cs="Arial"/>
          <w:sz w:val="22"/>
          <w:szCs w:val="22"/>
        </w:rPr>
        <w:br/>
        <w:t>–</w:t>
      </w:r>
      <w:r w:rsidRPr="007153F9">
        <w:rPr>
          <w:rFonts w:ascii="Verdana" w:hAnsi="Verdana" w:cs="Arial"/>
          <w:sz w:val="22"/>
          <w:szCs w:val="22"/>
        </w:rPr>
        <w:t xml:space="preserve">spożywczych do </w:t>
      </w:r>
      <w:r w:rsidRPr="007153F9">
        <w:rPr>
          <w:rFonts w:ascii="Verdana" w:hAnsi="Verdana" w:cs="Arial"/>
          <w:spacing w:val="-4"/>
          <w:sz w:val="22"/>
          <w:szCs w:val="22"/>
        </w:rPr>
        <w:t>krajów Wspólnoty Niepodległych Państw, kształtując się na poziomie 0,8 mld euro</w:t>
      </w:r>
      <w:r w:rsidRPr="007153F9">
        <w:rPr>
          <w:rFonts w:ascii="Verdana" w:hAnsi="Verdana" w:cs="Arial"/>
          <w:sz w:val="22"/>
          <w:szCs w:val="22"/>
        </w:rPr>
        <w:t xml:space="preserve">, o 10% wyższym niż w roku poprzednim. Udział WNP w polskim </w:t>
      </w:r>
      <w:r w:rsidRPr="007153F9">
        <w:rPr>
          <w:rFonts w:ascii="Verdana" w:hAnsi="Verdana" w:cs="Arial"/>
          <w:sz w:val="22"/>
          <w:szCs w:val="22"/>
        </w:rPr>
        <w:lastRenderedPageBreak/>
        <w:t>eksporcie rolno</w:t>
      </w:r>
      <w:r w:rsidR="0038590C"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>spożywczym, podobnie jak w poprzednim roku, wyniósł 5%. Wartość towarów rolno</w:t>
      </w:r>
      <w:r w:rsidR="0038590C"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>spożywczych wyeksportowanych z Polski do Rosji w okresie styczeń–lipiec 2017 r. wyniosła 252 mln euro i była o 25% większa niż rok wcześniej, ale o 66% mniejsza niż w anal</w:t>
      </w:r>
      <w:r w:rsidR="00030FB8">
        <w:rPr>
          <w:rFonts w:ascii="Verdana" w:hAnsi="Verdana" w:cs="Arial"/>
          <w:sz w:val="22"/>
          <w:szCs w:val="22"/>
        </w:rPr>
        <w:t>ogicznym</w:t>
      </w:r>
      <w:r w:rsidRPr="007153F9">
        <w:rPr>
          <w:rFonts w:ascii="Verdana" w:hAnsi="Verdana" w:cs="Arial"/>
          <w:sz w:val="22"/>
          <w:szCs w:val="22"/>
        </w:rPr>
        <w:t xml:space="preserve"> okresie 2013 r. Wartość eksportu na </w:t>
      </w:r>
      <w:r w:rsidRPr="007153F9">
        <w:rPr>
          <w:rFonts w:ascii="Verdana" w:hAnsi="Verdana" w:cs="Arial"/>
          <w:spacing w:val="-4"/>
          <w:sz w:val="22"/>
          <w:szCs w:val="22"/>
        </w:rPr>
        <w:t>Ukrainę zwiększyła się o 21%, do 213 mln euro, a na Białoruś obniżyła się o 6%, do 215 mln euro</w:t>
      </w:r>
      <w:r w:rsidRPr="007153F9">
        <w:rPr>
          <w:rFonts w:ascii="Verdana" w:hAnsi="Verdana" w:cs="Arial"/>
          <w:sz w:val="22"/>
          <w:szCs w:val="22"/>
        </w:rPr>
        <w:t xml:space="preserve">. Spośród krajów WNP wzrost odnotowano również </w:t>
      </w:r>
      <w:r w:rsidR="007153F9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>w eksporcie do Kirgistanu (o 63%), Mołdawii (o 46%), Tadżykistanu (o 39%), Kazachstanu (o 19%) oraz Azerbejdżanu (o 9%).</w:t>
      </w:r>
    </w:p>
    <w:p w:rsidR="00330EEF" w:rsidRPr="007153F9" w:rsidRDefault="00330EEF" w:rsidP="00330EEF">
      <w:pPr>
        <w:spacing w:before="120" w:line="360" w:lineRule="auto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 xml:space="preserve">Eksport do pozostałych krajów (spoza UE i WNP) zwiększył się z 1,9 mld euro </w:t>
      </w:r>
      <w:r w:rsidR="007153F9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>w okresie siedmiu miesięcy 2016 r. do 2,2 mld euro w tym samym okresie 2017 r., tj. o 17%. Tym samym w całym polskim eksporcie rolno</w:t>
      </w:r>
      <w:r w:rsidR="0038590C"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>spożywczym udział tych krajów zwiększył się z 13,6% do 14,5%.</w:t>
      </w:r>
    </w:p>
    <w:p w:rsidR="00330EEF" w:rsidRPr="007153F9" w:rsidRDefault="00330EEF" w:rsidP="00330EEF">
      <w:pPr>
        <w:spacing w:before="120" w:line="360" w:lineRule="auto"/>
        <w:jc w:val="both"/>
        <w:rPr>
          <w:rFonts w:ascii="Verdana" w:hAnsi="Verdana" w:cs="Arial"/>
          <w:i/>
          <w:sz w:val="22"/>
          <w:szCs w:val="22"/>
        </w:rPr>
      </w:pPr>
      <w:r w:rsidRPr="00B3475F">
        <w:rPr>
          <w:rFonts w:ascii="Verdana" w:hAnsi="Verdana" w:cs="Arial"/>
          <w:i/>
          <w:spacing w:val="-4"/>
          <w:sz w:val="22"/>
          <w:szCs w:val="22"/>
        </w:rPr>
        <w:t xml:space="preserve">W 2017 r. przewiduje się dalszy wzrost obrotów polskiego handlu zagranicznego. </w:t>
      </w:r>
      <w:r w:rsidRPr="00B3475F">
        <w:rPr>
          <w:rFonts w:ascii="Verdana" w:hAnsi="Verdana" w:cs="Arial"/>
          <w:i/>
          <w:spacing w:val="-8"/>
          <w:sz w:val="22"/>
          <w:szCs w:val="22"/>
        </w:rPr>
        <w:t>Zgodnie z prognozą IERiGŻ – PIB eksport produktów rolno</w:t>
      </w:r>
      <w:r w:rsidR="0038590C">
        <w:rPr>
          <w:rFonts w:ascii="Verdana" w:hAnsi="Verdana" w:cs="Arial"/>
          <w:i/>
          <w:spacing w:val="-8"/>
          <w:sz w:val="22"/>
          <w:szCs w:val="22"/>
        </w:rPr>
        <w:t>–</w:t>
      </w:r>
      <w:r w:rsidRPr="00B3475F">
        <w:rPr>
          <w:rFonts w:ascii="Verdana" w:hAnsi="Verdana" w:cs="Arial"/>
          <w:i/>
          <w:spacing w:val="-8"/>
          <w:sz w:val="22"/>
          <w:szCs w:val="22"/>
        </w:rPr>
        <w:t xml:space="preserve">spożywczych w całym </w:t>
      </w:r>
      <w:r w:rsidR="00B3475F" w:rsidRPr="00B3475F">
        <w:rPr>
          <w:rFonts w:ascii="Verdana" w:hAnsi="Verdana" w:cs="Arial"/>
          <w:i/>
          <w:spacing w:val="-8"/>
          <w:sz w:val="22"/>
          <w:szCs w:val="22"/>
        </w:rPr>
        <w:t>2017 r</w:t>
      </w:r>
      <w:r w:rsidR="00B3475F" w:rsidRPr="00B3475F">
        <w:rPr>
          <w:rFonts w:ascii="Verdana" w:hAnsi="Verdana" w:cs="Arial"/>
          <w:i/>
          <w:spacing w:val="-4"/>
          <w:sz w:val="22"/>
          <w:szCs w:val="22"/>
        </w:rPr>
        <w:t xml:space="preserve">. może wynieść </w:t>
      </w:r>
      <w:r w:rsidRPr="00B3475F">
        <w:rPr>
          <w:rFonts w:ascii="Verdana" w:hAnsi="Verdana" w:cs="Arial"/>
          <w:i/>
          <w:spacing w:val="-4"/>
          <w:sz w:val="22"/>
          <w:szCs w:val="22"/>
        </w:rPr>
        <w:t>26,</w:t>
      </w:r>
      <w:r w:rsidR="0084371A" w:rsidRPr="00B3475F">
        <w:rPr>
          <w:rFonts w:ascii="Verdana" w:hAnsi="Verdana" w:cs="Arial"/>
          <w:i/>
          <w:spacing w:val="-4"/>
          <w:sz w:val="22"/>
          <w:szCs w:val="22"/>
        </w:rPr>
        <w:t>3</w:t>
      </w:r>
      <w:r w:rsidRPr="00B3475F">
        <w:rPr>
          <w:rFonts w:ascii="Verdana" w:hAnsi="Verdana" w:cs="Arial"/>
          <w:i/>
          <w:spacing w:val="-4"/>
          <w:sz w:val="22"/>
          <w:szCs w:val="22"/>
        </w:rPr>
        <w:t xml:space="preserve"> mld euro, o </w:t>
      </w:r>
      <w:r w:rsidR="0084371A" w:rsidRPr="00B3475F">
        <w:rPr>
          <w:rFonts w:ascii="Verdana" w:hAnsi="Verdana" w:cs="Arial"/>
          <w:i/>
          <w:spacing w:val="-4"/>
          <w:sz w:val="22"/>
          <w:szCs w:val="22"/>
        </w:rPr>
        <w:t>8</w:t>
      </w:r>
      <w:r w:rsidRPr="00B3475F">
        <w:rPr>
          <w:rFonts w:ascii="Verdana" w:hAnsi="Verdana" w:cs="Arial"/>
          <w:i/>
          <w:spacing w:val="-4"/>
          <w:sz w:val="22"/>
          <w:szCs w:val="22"/>
        </w:rPr>
        <w:t xml:space="preserve">% więcej niż w 2016 r., a import 18,3 mld euro, </w:t>
      </w:r>
      <w:r w:rsidR="00B3475F">
        <w:rPr>
          <w:rFonts w:ascii="Verdana" w:hAnsi="Verdana" w:cs="Arial"/>
          <w:i/>
          <w:spacing w:val="-4"/>
          <w:sz w:val="22"/>
          <w:szCs w:val="22"/>
        </w:rPr>
        <w:br/>
      </w:r>
      <w:r w:rsidRPr="00B3475F">
        <w:rPr>
          <w:rFonts w:ascii="Verdana" w:hAnsi="Verdana" w:cs="Arial"/>
          <w:i/>
          <w:spacing w:val="-4"/>
          <w:sz w:val="22"/>
          <w:szCs w:val="22"/>
        </w:rPr>
        <w:t xml:space="preserve">o 5,9% więcej. W efekcie saldo obrotów osiągnęłoby poziom </w:t>
      </w:r>
      <w:r w:rsidR="0084371A" w:rsidRPr="00B3475F">
        <w:rPr>
          <w:rFonts w:ascii="Verdana" w:hAnsi="Verdana" w:cs="Arial"/>
          <w:i/>
          <w:spacing w:val="-4"/>
          <w:sz w:val="22"/>
          <w:szCs w:val="22"/>
        </w:rPr>
        <w:t>8</w:t>
      </w:r>
      <w:r w:rsidRPr="00B3475F">
        <w:rPr>
          <w:rFonts w:ascii="Verdana" w:hAnsi="Verdana" w:cs="Arial"/>
          <w:i/>
          <w:spacing w:val="-4"/>
          <w:sz w:val="22"/>
          <w:szCs w:val="22"/>
        </w:rPr>
        <w:t xml:space="preserve"> mld euro</w:t>
      </w:r>
      <w:r w:rsidRPr="007153F9">
        <w:rPr>
          <w:rFonts w:ascii="Verdana" w:hAnsi="Verdana" w:cs="Arial"/>
          <w:i/>
          <w:sz w:val="22"/>
          <w:szCs w:val="22"/>
        </w:rPr>
        <w:t>.</w:t>
      </w:r>
    </w:p>
    <w:p w:rsidR="00330EEF" w:rsidRDefault="00330EEF" w:rsidP="00330EEF">
      <w:pPr>
        <w:spacing w:before="120" w:line="360" w:lineRule="auto"/>
        <w:jc w:val="both"/>
        <w:rPr>
          <w:rFonts w:ascii="Verdana" w:hAnsi="Verdana" w:cs="Arial"/>
          <w:sz w:val="22"/>
          <w:szCs w:val="22"/>
          <w:highlight w:val="yellow"/>
        </w:rPr>
      </w:pPr>
      <w:r w:rsidRPr="007153F9">
        <w:rPr>
          <w:rFonts w:ascii="Verdana" w:hAnsi="Verdana" w:cs="Arial"/>
          <w:sz w:val="22"/>
          <w:szCs w:val="22"/>
        </w:rPr>
        <w:t>W</w:t>
      </w:r>
      <w:r w:rsidRPr="007153F9">
        <w:rPr>
          <w:rFonts w:ascii="Verdana" w:hAnsi="Verdana" w:cs="Arial"/>
          <w:bCs/>
          <w:sz w:val="22"/>
          <w:szCs w:val="22"/>
        </w:rPr>
        <w:t xml:space="preserve"> eksporcie towarów </w:t>
      </w:r>
      <w:r w:rsidRPr="007153F9">
        <w:rPr>
          <w:rFonts w:ascii="Verdana" w:hAnsi="Verdana" w:cs="Arial"/>
          <w:sz w:val="22"/>
          <w:szCs w:val="22"/>
        </w:rPr>
        <w:t>rolno</w:t>
      </w:r>
      <w:r w:rsidR="0038590C"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>spożywczych sukcesywnie rośnie znaczenie przetworów zbożowych</w:t>
      </w:r>
      <w:r w:rsidR="00C44C8C">
        <w:rPr>
          <w:rFonts w:ascii="Verdana" w:hAnsi="Verdana" w:cs="Arial"/>
          <w:sz w:val="22"/>
          <w:szCs w:val="22"/>
        </w:rPr>
        <w:t>,</w:t>
      </w:r>
      <w:r w:rsidRPr="007153F9">
        <w:rPr>
          <w:rFonts w:ascii="Verdana" w:hAnsi="Verdana" w:cs="Arial"/>
          <w:sz w:val="22"/>
          <w:szCs w:val="22"/>
        </w:rPr>
        <w:t xml:space="preserve"> których udział w przychodach z eksportu w okresie siedmiu miesięcy 2017 r. wyniósł 9,2%. W porównaniu z rokiem poprzednim, w okresie styczeń–lipiec 2017 r. w strukturze towarowej polskiego eksportu rolno</w:t>
      </w:r>
      <w:r w:rsidR="00A50932"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>spożywczego wzrósł także udział mięsa czerwonego</w:t>
      </w:r>
      <w:r w:rsidRPr="007153F9">
        <w:rPr>
          <w:rStyle w:val="Odwoanieprzypisudolnego"/>
          <w:rFonts w:ascii="Verdana" w:hAnsi="Verdana" w:cs="Arial"/>
          <w:sz w:val="22"/>
          <w:szCs w:val="22"/>
        </w:rPr>
        <w:footnoteReference w:id="2"/>
      </w:r>
      <w:r w:rsidRPr="007153F9">
        <w:rPr>
          <w:rFonts w:ascii="Verdana" w:hAnsi="Verdana" w:cs="Arial"/>
          <w:sz w:val="22"/>
          <w:szCs w:val="22"/>
        </w:rPr>
        <w:t>, wyrobów tytoniowych, produktów mleczarskich, nasion roślin oleistych, cukru. Zmniejszył się udział mięsa drobiowego, ziarna zbóż, warzyw i owoców</w:t>
      </w:r>
      <w:r w:rsidRPr="007153F9">
        <w:rPr>
          <w:rFonts w:ascii="Verdana" w:hAnsi="Verdana" w:cs="Arial"/>
          <w:sz w:val="22"/>
          <w:szCs w:val="22"/>
          <w:vertAlign w:val="superscript"/>
        </w:rPr>
        <w:t>2</w:t>
      </w:r>
      <w:r w:rsidRPr="007153F9">
        <w:rPr>
          <w:rFonts w:ascii="Verdana" w:hAnsi="Verdana" w:cs="Arial"/>
          <w:sz w:val="22"/>
          <w:szCs w:val="22"/>
        </w:rPr>
        <w:t>, kawy, herbaty i kakao, a w mniejszym stopniu piwa.</w:t>
      </w:r>
      <w:r w:rsidRPr="007153F9">
        <w:rPr>
          <w:rFonts w:ascii="Verdana" w:hAnsi="Verdana" w:cs="Arial"/>
          <w:sz w:val="22"/>
          <w:szCs w:val="22"/>
          <w:highlight w:val="yellow"/>
        </w:rPr>
        <w:t xml:space="preserve"> </w:t>
      </w:r>
    </w:p>
    <w:p w:rsidR="00520E97" w:rsidRPr="007153F9" w:rsidRDefault="00520E97" w:rsidP="00330EEF">
      <w:pPr>
        <w:spacing w:before="120" w:line="360" w:lineRule="auto"/>
        <w:jc w:val="both"/>
        <w:rPr>
          <w:rFonts w:ascii="Verdana" w:hAnsi="Verdana" w:cs="Arial"/>
          <w:sz w:val="22"/>
          <w:szCs w:val="22"/>
          <w:highlight w:val="yellow"/>
        </w:rPr>
      </w:pPr>
      <w:r w:rsidRPr="0046786D">
        <w:rPr>
          <w:rFonts w:ascii="Verdana" w:hAnsi="Verdana" w:cs="Arial"/>
          <w:spacing w:val="-2"/>
          <w:sz w:val="22"/>
          <w:szCs w:val="22"/>
        </w:rPr>
        <w:t>Produktami rolno–żywnościowymi, które generowały największy przychód z eksportu</w:t>
      </w:r>
      <w:r w:rsidRPr="007153F9">
        <w:rPr>
          <w:rFonts w:ascii="Verdana" w:hAnsi="Verdana" w:cs="Arial"/>
          <w:sz w:val="22"/>
          <w:szCs w:val="22"/>
        </w:rPr>
        <w:t xml:space="preserve"> </w:t>
      </w:r>
      <w:r w:rsidRPr="0046786D">
        <w:rPr>
          <w:rFonts w:ascii="Verdana" w:hAnsi="Verdana" w:cs="Arial"/>
          <w:spacing w:val="-2"/>
          <w:sz w:val="22"/>
          <w:szCs w:val="22"/>
        </w:rPr>
        <w:t>w o</w:t>
      </w:r>
      <w:r w:rsidR="00A171CE">
        <w:rPr>
          <w:rFonts w:ascii="Verdana" w:hAnsi="Verdana" w:cs="Arial"/>
          <w:spacing w:val="-2"/>
          <w:sz w:val="22"/>
          <w:szCs w:val="22"/>
        </w:rPr>
        <w:t>kresie siedmiu miesięcy 2017 r.</w:t>
      </w:r>
      <w:r w:rsidRPr="0046786D">
        <w:rPr>
          <w:rFonts w:ascii="Verdana" w:hAnsi="Verdana" w:cs="Arial"/>
          <w:spacing w:val="-2"/>
          <w:sz w:val="22"/>
          <w:szCs w:val="22"/>
        </w:rPr>
        <w:t xml:space="preserve"> były: mięso i podroby z drobiu (1039 mln euro)</w:t>
      </w:r>
      <w:r w:rsidRPr="007153F9">
        <w:rPr>
          <w:rFonts w:ascii="Verdana" w:hAnsi="Verdana" w:cs="Arial"/>
          <w:sz w:val="22"/>
          <w:szCs w:val="22"/>
        </w:rPr>
        <w:t xml:space="preserve">, pieczywo (824 mln euro), mięso wołowe (742 mln euro), ryby </w:t>
      </w:r>
      <w:r w:rsidR="001A32E8">
        <w:rPr>
          <w:rFonts w:ascii="Verdana" w:hAnsi="Verdana" w:cs="Arial"/>
          <w:spacing w:val="-4"/>
          <w:sz w:val="22"/>
          <w:szCs w:val="22"/>
        </w:rPr>
        <w:t>(731</w:t>
      </w:r>
      <w:r w:rsidRPr="007153F9">
        <w:rPr>
          <w:rFonts w:ascii="Verdana" w:hAnsi="Verdana" w:cs="Arial"/>
          <w:spacing w:val="-4"/>
          <w:sz w:val="22"/>
          <w:szCs w:val="22"/>
        </w:rPr>
        <w:t xml:space="preserve"> mln euro), </w:t>
      </w:r>
      <w:r w:rsidRPr="007153F9">
        <w:rPr>
          <w:rFonts w:ascii="Verdana" w:hAnsi="Verdana" w:cs="Arial"/>
          <w:sz w:val="22"/>
          <w:szCs w:val="22"/>
        </w:rPr>
        <w:t xml:space="preserve">wyroby czekoladowe (659 mln euro), przetwory </w:t>
      </w:r>
      <w:r w:rsidRPr="007153F9">
        <w:rPr>
          <w:rFonts w:ascii="Verdana" w:hAnsi="Verdana" w:cs="Arial"/>
          <w:spacing w:val="-8"/>
          <w:sz w:val="22"/>
          <w:szCs w:val="22"/>
        </w:rPr>
        <w:t>mięsne (592 mln euro), mięso wieprzowe (564 mln euro), sery i twarogi (421 mln</w:t>
      </w:r>
      <w:r w:rsidRPr="007153F9">
        <w:rPr>
          <w:rFonts w:ascii="Verdana" w:hAnsi="Verdana" w:cs="Arial"/>
          <w:spacing w:val="-4"/>
          <w:sz w:val="22"/>
          <w:szCs w:val="22"/>
        </w:rPr>
        <w:t xml:space="preserve"> euro), </w:t>
      </w:r>
      <w:r w:rsidRPr="007153F9">
        <w:rPr>
          <w:rFonts w:ascii="Verdana" w:hAnsi="Verdana" w:cs="Arial"/>
          <w:sz w:val="22"/>
          <w:szCs w:val="22"/>
        </w:rPr>
        <w:t xml:space="preserve">pszenica (312 mln euro), </w:t>
      </w:r>
      <w:r w:rsidRPr="007153F9">
        <w:rPr>
          <w:rFonts w:ascii="Verdana" w:hAnsi="Verdana" w:cs="Arial"/>
          <w:spacing w:val="-4"/>
          <w:sz w:val="22"/>
          <w:szCs w:val="22"/>
        </w:rPr>
        <w:t>soki owocowo</w:t>
      </w:r>
      <w:r w:rsidR="005E3B59">
        <w:rPr>
          <w:rFonts w:ascii="Verdana" w:hAnsi="Verdana" w:cs="Arial"/>
          <w:spacing w:val="-4"/>
          <w:sz w:val="22"/>
          <w:szCs w:val="22"/>
        </w:rPr>
        <w:t>–</w:t>
      </w:r>
      <w:r w:rsidRPr="007153F9">
        <w:rPr>
          <w:rFonts w:ascii="Verdana" w:hAnsi="Verdana" w:cs="Arial"/>
          <w:spacing w:val="-4"/>
          <w:sz w:val="22"/>
          <w:szCs w:val="22"/>
        </w:rPr>
        <w:t>warzywne (274 mln</w:t>
      </w:r>
      <w:r w:rsidRPr="007153F9">
        <w:rPr>
          <w:rFonts w:ascii="Verdana" w:hAnsi="Verdana" w:cs="Arial"/>
          <w:sz w:val="22"/>
          <w:szCs w:val="22"/>
        </w:rPr>
        <w:t xml:space="preserve"> euro). Duże wpływy uzyskiwano również </w:t>
      </w:r>
      <w:r w:rsidR="0046786D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>z wywozu papierosów (1390 mln euro). W okresie siedmiu miesięcy 2017 r. łączna wartość eksportu wymienionych produktów stanowiła 51% wartości wywozu towarów rolno</w:t>
      </w:r>
      <w:r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>spożywczych.</w:t>
      </w:r>
    </w:p>
    <w:p w:rsidR="00330EEF" w:rsidRPr="007153F9" w:rsidRDefault="00330EEF" w:rsidP="00330EEF">
      <w:pPr>
        <w:spacing w:before="60"/>
        <w:jc w:val="both"/>
        <w:rPr>
          <w:rFonts w:ascii="Verdana" w:hAnsi="Verdana" w:cs="Arial"/>
          <w:b/>
          <w:bCs/>
          <w:spacing w:val="-8"/>
          <w:sz w:val="22"/>
          <w:szCs w:val="22"/>
        </w:rPr>
      </w:pPr>
      <w:r w:rsidRPr="007153F9">
        <w:rPr>
          <w:rFonts w:ascii="Verdana" w:hAnsi="Verdana" w:cs="Arial"/>
          <w:b/>
          <w:bCs/>
          <w:spacing w:val="-8"/>
          <w:sz w:val="22"/>
          <w:szCs w:val="22"/>
        </w:rPr>
        <w:t>Struktura towarowa polskiego eksportu rolno</w:t>
      </w:r>
      <w:r w:rsidR="00A50932">
        <w:rPr>
          <w:rFonts w:ascii="Verdana" w:hAnsi="Verdana" w:cs="Arial"/>
          <w:b/>
          <w:bCs/>
          <w:spacing w:val="-8"/>
          <w:sz w:val="22"/>
          <w:szCs w:val="22"/>
        </w:rPr>
        <w:t>–</w:t>
      </w:r>
      <w:r w:rsidRPr="007153F9">
        <w:rPr>
          <w:rFonts w:ascii="Verdana" w:hAnsi="Verdana" w:cs="Arial"/>
          <w:b/>
          <w:bCs/>
          <w:spacing w:val="-8"/>
          <w:sz w:val="22"/>
          <w:szCs w:val="22"/>
        </w:rPr>
        <w:t xml:space="preserve">spożywczego w okresie </w:t>
      </w:r>
      <w:r w:rsidR="00520E97">
        <w:rPr>
          <w:rFonts w:ascii="Verdana" w:hAnsi="Verdana" w:cs="Arial"/>
          <w:b/>
          <w:bCs/>
          <w:spacing w:val="-8"/>
          <w:sz w:val="22"/>
          <w:szCs w:val="22"/>
        </w:rPr>
        <w:br/>
      </w:r>
      <w:r w:rsidRPr="007153F9">
        <w:rPr>
          <w:rFonts w:ascii="Verdana" w:hAnsi="Verdana" w:cs="Arial"/>
          <w:b/>
          <w:bCs/>
          <w:spacing w:val="-8"/>
          <w:sz w:val="22"/>
          <w:szCs w:val="22"/>
        </w:rPr>
        <w:t xml:space="preserve">styczeń–lipiec 2017 r. </w:t>
      </w:r>
    </w:p>
    <w:p w:rsidR="00330EEF" w:rsidRPr="00F935D3" w:rsidRDefault="00330EEF" w:rsidP="00330EEF">
      <w:pPr>
        <w:spacing w:before="60"/>
        <w:jc w:val="both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1C92B0DF" wp14:editId="4298209F">
            <wp:extent cx="5941060" cy="3767008"/>
            <wp:effectExtent l="0" t="0" r="21590" b="2413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30EEF" w:rsidRPr="00F935D3" w:rsidRDefault="00330EEF" w:rsidP="00330EEF">
      <w:pPr>
        <w:jc w:val="both"/>
        <w:rPr>
          <w:rFonts w:ascii="Verdana" w:hAnsi="Verdana" w:cs="Arial"/>
          <w:bCs/>
          <w:sz w:val="20"/>
        </w:rPr>
      </w:pPr>
      <w:r w:rsidRPr="00F935D3">
        <w:rPr>
          <w:rFonts w:ascii="Verdana" w:hAnsi="Verdana" w:cs="Arial"/>
          <w:bCs/>
          <w:sz w:val="20"/>
        </w:rPr>
        <w:t xml:space="preserve">Źródło: </w:t>
      </w:r>
      <w:r w:rsidRPr="003762C4">
        <w:rPr>
          <w:rFonts w:ascii="Verdana" w:hAnsi="Verdana" w:cs="Arial"/>
          <w:bCs/>
          <w:sz w:val="20"/>
        </w:rPr>
        <w:t xml:space="preserve">opracowanie Biura Analiz i Strategii Krajowego Ośrodka Wsparcia Rolnictwa </w:t>
      </w:r>
      <w:r>
        <w:rPr>
          <w:rFonts w:ascii="Verdana" w:hAnsi="Verdana" w:cs="Arial"/>
          <w:bCs/>
          <w:sz w:val="20"/>
        </w:rPr>
        <w:br/>
      </w:r>
      <w:r w:rsidRPr="003762C4">
        <w:rPr>
          <w:rFonts w:ascii="Verdana" w:hAnsi="Verdana" w:cs="Arial"/>
          <w:bCs/>
          <w:sz w:val="20"/>
        </w:rPr>
        <w:t>na podstawie wstępnych danych Ministerstwa Finansów.</w:t>
      </w:r>
    </w:p>
    <w:p w:rsidR="00330EEF" w:rsidRPr="007153F9" w:rsidRDefault="00330EEF" w:rsidP="00520E97">
      <w:pPr>
        <w:spacing w:before="240" w:after="120" w:line="360" w:lineRule="auto"/>
        <w:jc w:val="both"/>
        <w:rPr>
          <w:rFonts w:ascii="Verdana" w:hAnsi="Verdana" w:cs="Arial"/>
          <w:b/>
          <w:sz w:val="22"/>
          <w:szCs w:val="22"/>
        </w:rPr>
      </w:pPr>
      <w:r w:rsidRPr="007153F9">
        <w:rPr>
          <w:rFonts w:ascii="Verdana" w:hAnsi="Verdana" w:cs="Arial"/>
          <w:b/>
          <w:sz w:val="22"/>
          <w:szCs w:val="22"/>
        </w:rPr>
        <w:t>Eksport głównych grup towarowych</w:t>
      </w:r>
    </w:p>
    <w:p w:rsidR="00330EEF" w:rsidRPr="007153F9" w:rsidRDefault="00330EEF" w:rsidP="00330EEF">
      <w:pPr>
        <w:spacing w:line="360" w:lineRule="auto"/>
        <w:ind w:right="-17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 xml:space="preserve">W okresie siedmiu miesięcy </w:t>
      </w:r>
      <w:r w:rsidRPr="007153F9">
        <w:rPr>
          <w:rFonts w:ascii="Verdana" w:hAnsi="Verdana" w:cs="Arial"/>
          <w:bCs/>
          <w:sz w:val="22"/>
          <w:szCs w:val="22"/>
        </w:rPr>
        <w:t>2017 r.</w:t>
      </w:r>
      <w:r w:rsidRPr="007153F9">
        <w:rPr>
          <w:rFonts w:ascii="Verdana" w:hAnsi="Verdana" w:cs="Arial"/>
          <w:sz w:val="22"/>
          <w:szCs w:val="22"/>
        </w:rPr>
        <w:t xml:space="preserve"> wzrósł </w:t>
      </w:r>
      <w:r w:rsidRPr="007153F9">
        <w:rPr>
          <w:rFonts w:ascii="Verdana" w:hAnsi="Verdana" w:cs="Arial"/>
          <w:b/>
          <w:sz w:val="22"/>
          <w:szCs w:val="22"/>
        </w:rPr>
        <w:t xml:space="preserve">eksport z Polski mięsa i podrobów </w:t>
      </w:r>
      <w:r w:rsidR="00520E97">
        <w:rPr>
          <w:rFonts w:ascii="Verdana" w:hAnsi="Verdana" w:cs="Arial"/>
          <w:b/>
          <w:sz w:val="22"/>
          <w:szCs w:val="22"/>
        </w:rPr>
        <w:br/>
      </w:r>
      <w:r w:rsidRPr="007153F9">
        <w:rPr>
          <w:rFonts w:ascii="Verdana" w:hAnsi="Verdana" w:cs="Arial"/>
          <w:b/>
          <w:sz w:val="22"/>
          <w:szCs w:val="22"/>
        </w:rPr>
        <w:t>z drobiu</w:t>
      </w:r>
      <w:r w:rsidRPr="007153F9">
        <w:rPr>
          <w:rFonts w:ascii="Verdana" w:hAnsi="Verdana" w:cs="Arial"/>
          <w:sz w:val="22"/>
          <w:szCs w:val="22"/>
        </w:rPr>
        <w:t xml:space="preserve"> (CN 0207). Wywóz ten osiągnął poziom 620 tys. ton (o 8% wyższy niż przed rokiem) oraz ponad 1,0 mld euro (o 4% wyższy). Tak jak przed rokiem, największymi rynkami zbytu krajowego mięsa drobiowego były państwa UE. </w:t>
      </w:r>
      <w:r w:rsidR="00520E97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 xml:space="preserve">Do krajów UE skierowano 478 tys. ton mięsa i podrobów z drobiu (77% eksportu ogółem tej grupy) o wartości 937 mln euro (stanowiącej 90% udziału w wartości </w:t>
      </w:r>
      <w:r w:rsidRPr="00520E97">
        <w:rPr>
          <w:rFonts w:ascii="Verdana" w:hAnsi="Verdana" w:cs="Arial"/>
          <w:spacing w:val="-2"/>
          <w:sz w:val="22"/>
          <w:szCs w:val="22"/>
        </w:rPr>
        <w:t>wyeksportowanego drobiu). Wolumen eksportu był o 7% większy niż w analogicznym</w:t>
      </w:r>
      <w:r w:rsidRPr="007153F9">
        <w:rPr>
          <w:rFonts w:ascii="Verdana" w:hAnsi="Verdana" w:cs="Arial"/>
          <w:sz w:val="22"/>
          <w:szCs w:val="22"/>
        </w:rPr>
        <w:t xml:space="preserve"> okresie 2016 r., a jego wartość – o 4%. Biorąc pod uwagę poszczególne kraje UE, największymi odbiorcami drobiu z Polski były: Niemcy (kraj ten miał 15% udziału </w:t>
      </w:r>
      <w:r w:rsidR="00520E97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 xml:space="preserve">w wolumenie i 21% w wartości polskiego eksportu tego mięsa), Wielka Brytania </w:t>
      </w:r>
      <w:r w:rsidRPr="00520E97">
        <w:rPr>
          <w:rFonts w:ascii="Verdana" w:hAnsi="Verdana" w:cs="Arial"/>
          <w:spacing w:val="-2"/>
          <w:sz w:val="22"/>
          <w:szCs w:val="22"/>
        </w:rPr>
        <w:t>(odpowiednio 9% i 13%), Francja (8% i 10%) oraz Czechy i Holandia (po 7% i 8%).</w:t>
      </w:r>
      <w:r w:rsidRPr="007153F9">
        <w:rPr>
          <w:rFonts w:ascii="Verdana" w:hAnsi="Verdana" w:cs="Arial"/>
          <w:sz w:val="22"/>
          <w:szCs w:val="22"/>
        </w:rPr>
        <w:t xml:space="preserve"> Wśród krajów trzecich (pod względem wolumenu) głównym importerem polskiego mięsa drobiowego była Ukraina (6. odbiorca spośród wszystkich krajów, z 7% udziałem w wolumenie i 1% w wartości) i Hongkong (9. odbiorca, z 3% udziałem zarówno w wolumenie, jak i w wartości). Odbiorcami drobiu z Polski były również Benin, Ghana i Macedonia, z 1-2% udziałem każdego z nich w wolumenie i 1% udziałem w wartości. </w:t>
      </w:r>
    </w:p>
    <w:p w:rsidR="00330EEF" w:rsidRPr="007153F9" w:rsidRDefault="00330EEF" w:rsidP="00330EEF">
      <w:pPr>
        <w:spacing w:before="120" w:after="40"/>
        <w:jc w:val="both"/>
        <w:rPr>
          <w:rFonts w:ascii="Verdana" w:hAnsi="Verdana" w:cs="Arial"/>
          <w:b/>
          <w:bCs/>
          <w:sz w:val="22"/>
          <w:szCs w:val="22"/>
        </w:rPr>
      </w:pPr>
      <w:r w:rsidRPr="007153F9">
        <w:rPr>
          <w:rFonts w:ascii="Verdana" w:hAnsi="Verdana" w:cs="Arial"/>
          <w:b/>
          <w:bCs/>
          <w:sz w:val="22"/>
          <w:szCs w:val="22"/>
        </w:rPr>
        <w:t xml:space="preserve">Handel zagraniczny </w:t>
      </w:r>
      <w:r w:rsidRPr="007153F9">
        <w:rPr>
          <w:rFonts w:ascii="Verdana" w:hAnsi="Verdana" w:cs="Arial"/>
          <w:b/>
          <w:sz w:val="22"/>
          <w:szCs w:val="22"/>
        </w:rPr>
        <w:t xml:space="preserve">mięsem i podrobami z drobiu </w:t>
      </w:r>
    </w:p>
    <w:p w:rsidR="00330EEF" w:rsidRDefault="00330EEF" w:rsidP="00330EEF">
      <w:pPr>
        <w:spacing w:before="20"/>
        <w:jc w:val="both"/>
        <w:rPr>
          <w:rFonts w:ascii="Verdana" w:hAnsi="Verdana"/>
          <w:noProof/>
        </w:rPr>
      </w:pPr>
      <w:r>
        <w:rPr>
          <w:noProof/>
        </w:rPr>
        <w:drawing>
          <wp:inline distT="0" distB="0" distL="0" distR="0" wp14:anchorId="7533680C" wp14:editId="502B941D">
            <wp:extent cx="6020789" cy="3740728"/>
            <wp:effectExtent l="0" t="0" r="18415" b="1270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30EEF" w:rsidRPr="00F935D3" w:rsidRDefault="00330EEF" w:rsidP="00330EEF">
      <w:pPr>
        <w:spacing w:before="20"/>
        <w:jc w:val="both"/>
        <w:rPr>
          <w:rFonts w:ascii="Verdana" w:hAnsi="Verdana" w:cs="Arial"/>
          <w:b/>
          <w:bCs/>
          <w:sz w:val="20"/>
        </w:rPr>
      </w:pPr>
      <w:r w:rsidRPr="00F935D3">
        <w:rPr>
          <w:rFonts w:ascii="Verdana" w:hAnsi="Verdana" w:cs="Arial"/>
          <w:bCs/>
          <w:spacing w:val="-2"/>
          <w:sz w:val="20"/>
        </w:rPr>
        <w:t xml:space="preserve">Źródło: opracowanie </w:t>
      </w:r>
      <w:r>
        <w:rPr>
          <w:rFonts w:ascii="Verdana" w:hAnsi="Verdana" w:cs="Arial"/>
          <w:bCs/>
          <w:spacing w:val="-2"/>
          <w:sz w:val="20"/>
        </w:rPr>
        <w:t>Biura Analiz i Strategii Krajowego Ośrodka Wsparcia Rolnictwa</w:t>
      </w:r>
      <w:r w:rsidRPr="00F935D3">
        <w:rPr>
          <w:rFonts w:ascii="Verdana" w:hAnsi="Verdana" w:cs="Arial"/>
          <w:bCs/>
          <w:spacing w:val="-2"/>
          <w:sz w:val="20"/>
        </w:rPr>
        <w:t xml:space="preserve"> na podstawie danych Ministerstwa Finansów i IERiGŻ – PIB, </w:t>
      </w:r>
      <w:r>
        <w:rPr>
          <w:rFonts w:ascii="Verdana" w:hAnsi="Verdana" w:cs="Arial"/>
          <w:bCs/>
          <w:spacing w:val="-2"/>
          <w:sz w:val="20"/>
        </w:rPr>
        <w:t xml:space="preserve">za I-VII </w:t>
      </w:r>
      <w:r w:rsidRPr="00F935D3">
        <w:rPr>
          <w:rFonts w:ascii="Verdana" w:hAnsi="Verdana" w:cs="Arial"/>
          <w:bCs/>
          <w:spacing w:val="-2"/>
          <w:sz w:val="20"/>
        </w:rPr>
        <w:t>201</w:t>
      </w:r>
      <w:r>
        <w:rPr>
          <w:rFonts w:ascii="Verdana" w:hAnsi="Verdana" w:cs="Arial"/>
          <w:bCs/>
          <w:spacing w:val="-2"/>
          <w:sz w:val="20"/>
        </w:rPr>
        <w:t>7</w:t>
      </w:r>
      <w:r w:rsidRPr="00F935D3">
        <w:rPr>
          <w:rFonts w:ascii="Verdana" w:hAnsi="Verdana" w:cs="Arial"/>
          <w:bCs/>
          <w:spacing w:val="-2"/>
          <w:sz w:val="20"/>
        </w:rPr>
        <w:t xml:space="preserve"> r. dane wstępne, </w:t>
      </w:r>
      <w:r>
        <w:rPr>
          <w:rFonts w:ascii="Verdana" w:hAnsi="Verdana" w:cs="Arial"/>
          <w:bCs/>
          <w:spacing w:val="-2"/>
          <w:sz w:val="20"/>
        </w:rPr>
        <w:br/>
        <w:t xml:space="preserve">za cały </w:t>
      </w:r>
      <w:r w:rsidRPr="00F935D3">
        <w:rPr>
          <w:rFonts w:ascii="Verdana" w:hAnsi="Verdana" w:cs="Arial"/>
          <w:bCs/>
          <w:spacing w:val="-2"/>
          <w:sz w:val="20"/>
        </w:rPr>
        <w:t xml:space="preserve">2017 r. </w:t>
      </w:r>
      <w:r>
        <w:rPr>
          <w:rFonts w:ascii="Verdana" w:hAnsi="Verdana" w:cs="Arial"/>
          <w:bCs/>
          <w:spacing w:val="-2"/>
          <w:sz w:val="20"/>
        </w:rPr>
        <w:t>szacunek</w:t>
      </w:r>
      <w:r w:rsidRPr="00F935D3">
        <w:rPr>
          <w:rFonts w:ascii="Verdana" w:hAnsi="Verdana" w:cs="Arial"/>
          <w:bCs/>
          <w:spacing w:val="-2"/>
          <w:sz w:val="20"/>
        </w:rPr>
        <w:t xml:space="preserve"> IERiGŻ – PIB.</w:t>
      </w:r>
    </w:p>
    <w:p w:rsidR="00330EEF" w:rsidRPr="007153F9" w:rsidRDefault="00330EEF" w:rsidP="00330EEF">
      <w:pPr>
        <w:spacing w:before="120" w:line="360" w:lineRule="auto"/>
        <w:ind w:right="-17"/>
        <w:jc w:val="both"/>
        <w:rPr>
          <w:rFonts w:ascii="Verdana" w:hAnsi="Verdana" w:cs="Arial"/>
          <w:i/>
          <w:sz w:val="22"/>
          <w:szCs w:val="22"/>
        </w:rPr>
      </w:pPr>
      <w:r w:rsidRPr="007153F9">
        <w:rPr>
          <w:rFonts w:ascii="Verdana" w:hAnsi="Verdana" w:cs="Arial"/>
          <w:i/>
          <w:sz w:val="22"/>
          <w:szCs w:val="22"/>
        </w:rPr>
        <w:t>Przewidywany w 2017 r. wzrost produkcji drobiu u dużych światowych eksporterów, tj. w Brazylii, USA, w krajach Unii Europejskiej i Tajlandii przyczyni się do nasilenia konkurencji</w:t>
      </w:r>
      <w:r w:rsidRPr="007153F9">
        <w:rPr>
          <w:rStyle w:val="Odwoanieprzypisudolnego"/>
          <w:rFonts w:ascii="Verdana" w:hAnsi="Verdana" w:cs="Arial"/>
          <w:i/>
          <w:sz w:val="22"/>
          <w:szCs w:val="22"/>
        </w:rPr>
        <w:footnoteReference w:id="3"/>
      </w:r>
      <w:r w:rsidRPr="007153F9">
        <w:rPr>
          <w:rFonts w:ascii="Verdana" w:hAnsi="Verdana" w:cs="Arial"/>
          <w:i/>
          <w:sz w:val="22"/>
          <w:szCs w:val="22"/>
        </w:rPr>
        <w:t xml:space="preserve">. Prognozowany wzrost produkcji drobiu w Polsce oraz jego wysoka konkurencyjność cenowa i jakościowa na światowym rynku będą sprzyjać wzrostowi jego eksportu. Jednak wprowadzone przez niektóre kraje pozaunijne ograniczenia importu asortymentu drobiowego z Polski, wynikające z wystąpienia na przełomie 2016 r. i 2017 r. grypy ptaków, mogą przyczynić się do spowolnienia dynamiki wzrostu eksportu w 2017 r. </w:t>
      </w:r>
      <w:r w:rsidR="0081181A">
        <w:rPr>
          <w:rFonts w:ascii="Verdana" w:hAnsi="Verdana" w:cs="Arial"/>
          <w:i/>
          <w:sz w:val="22"/>
          <w:szCs w:val="22"/>
        </w:rPr>
        <w:t>W ocenie analityków Krajowego Ośrodka Wsparcia Rolnictwa e</w:t>
      </w:r>
      <w:r w:rsidR="0081181A" w:rsidRPr="007153F9">
        <w:rPr>
          <w:rFonts w:ascii="Verdana" w:hAnsi="Verdana" w:cs="Arial"/>
          <w:i/>
          <w:sz w:val="22"/>
          <w:szCs w:val="22"/>
        </w:rPr>
        <w:t>ksport mięsa i podrobów drobiowych z Polski może być o około 8% większy niż w 2016 r. i wynieść 1,</w:t>
      </w:r>
      <w:r w:rsidR="0081181A">
        <w:rPr>
          <w:rFonts w:ascii="Verdana" w:hAnsi="Verdana" w:cs="Arial"/>
          <w:i/>
          <w:sz w:val="22"/>
          <w:szCs w:val="22"/>
        </w:rPr>
        <w:t>3</w:t>
      </w:r>
      <w:r w:rsidR="0081181A" w:rsidRPr="007153F9">
        <w:rPr>
          <w:rFonts w:ascii="Verdana" w:hAnsi="Verdana" w:cs="Arial"/>
          <w:i/>
          <w:sz w:val="22"/>
          <w:szCs w:val="22"/>
        </w:rPr>
        <w:t xml:space="preserve"> mln ton</w:t>
      </w:r>
      <w:r w:rsidR="0081181A">
        <w:rPr>
          <w:rFonts w:ascii="Verdana" w:hAnsi="Verdana" w:cs="Arial"/>
          <w:i/>
          <w:sz w:val="22"/>
          <w:szCs w:val="22"/>
        </w:rPr>
        <w:t xml:space="preserve"> (w ekwiwalencie tuszek)</w:t>
      </w:r>
      <w:r w:rsidRPr="007153F9">
        <w:rPr>
          <w:rFonts w:ascii="Verdana" w:hAnsi="Verdana" w:cs="Arial"/>
          <w:i/>
          <w:sz w:val="22"/>
          <w:szCs w:val="22"/>
        </w:rPr>
        <w:t>, pod warunkiem</w:t>
      </w:r>
      <w:r w:rsidR="00C44C8C">
        <w:rPr>
          <w:rFonts w:ascii="Verdana" w:hAnsi="Verdana" w:cs="Arial"/>
          <w:i/>
          <w:sz w:val="22"/>
          <w:szCs w:val="22"/>
        </w:rPr>
        <w:t>,</w:t>
      </w:r>
      <w:r w:rsidRPr="007153F9">
        <w:rPr>
          <w:rFonts w:ascii="Verdana" w:hAnsi="Verdana" w:cs="Arial"/>
          <w:i/>
          <w:sz w:val="22"/>
          <w:szCs w:val="22"/>
        </w:rPr>
        <w:t xml:space="preserve"> że nie wystąpią poważne zakłócenia na rynku spowodowane ptasią grypą. Wartość </w:t>
      </w:r>
      <w:r w:rsidRPr="00DB04E2">
        <w:rPr>
          <w:rFonts w:ascii="Verdana" w:hAnsi="Verdana" w:cs="Arial"/>
          <w:i/>
          <w:spacing w:val="-4"/>
          <w:sz w:val="22"/>
          <w:szCs w:val="22"/>
        </w:rPr>
        <w:t>eksportu prawdopodobnie wyniesie 1,9 mld euro</w:t>
      </w:r>
      <w:r w:rsidR="00520E97" w:rsidRPr="00DB04E2">
        <w:rPr>
          <w:rFonts w:ascii="Verdana" w:hAnsi="Verdana" w:cs="Arial"/>
          <w:i/>
          <w:spacing w:val="-4"/>
          <w:sz w:val="22"/>
          <w:szCs w:val="22"/>
        </w:rPr>
        <w:t xml:space="preserve"> </w:t>
      </w:r>
      <w:r w:rsidRPr="00DB04E2">
        <w:rPr>
          <w:rFonts w:ascii="Verdana" w:hAnsi="Verdana" w:cs="Arial"/>
          <w:i/>
          <w:spacing w:val="-4"/>
          <w:sz w:val="22"/>
          <w:szCs w:val="22"/>
        </w:rPr>
        <w:t>i będzie o 5% większa niż w 2016 r</w:t>
      </w:r>
      <w:r w:rsidRPr="007153F9">
        <w:rPr>
          <w:rFonts w:ascii="Verdana" w:hAnsi="Verdana" w:cs="Arial"/>
          <w:i/>
          <w:sz w:val="22"/>
          <w:szCs w:val="22"/>
        </w:rPr>
        <w:t>. Czynnikiem sprzyjającym wzrostowi polskiego eksportu będzie przyznanie Polsce statusu kraju wolnego od HPAI</w:t>
      </w:r>
      <w:r w:rsidR="00BC09F0">
        <w:rPr>
          <w:rStyle w:val="Odwoanieprzypisudolnego"/>
          <w:rFonts w:ascii="Verdana" w:hAnsi="Verdana" w:cs="Arial"/>
          <w:i/>
          <w:sz w:val="22"/>
          <w:szCs w:val="22"/>
        </w:rPr>
        <w:footnoteReference w:id="4"/>
      </w:r>
      <w:r w:rsidR="00520E97">
        <w:rPr>
          <w:rFonts w:ascii="Verdana" w:hAnsi="Verdana" w:cs="Arial"/>
          <w:i/>
          <w:sz w:val="22"/>
          <w:szCs w:val="22"/>
        </w:rPr>
        <w:t xml:space="preserve"> </w:t>
      </w:r>
      <w:r w:rsidRPr="007153F9">
        <w:rPr>
          <w:rFonts w:ascii="Verdana" w:hAnsi="Verdana" w:cs="Arial"/>
          <w:i/>
          <w:sz w:val="22"/>
          <w:szCs w:val="22"/>
        </w:rPr>
        <w:t>i otwarcie dotychczasowych i nowych rynków zbytu (np. rynku izraelskiego i katarskiego).</w:t>
      </w:r>
    </w:p>
    <w:p w:rsidR="00330EEF" w:rsidRPr="007153F9" w:rsidRDefault="00330EEF" w:rsidP="00330EEF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 xml:space="preserve">W okresie styczeń–lipiec 2017 r. </w:t>
      </w:r>
      <w:r w:rsidRPr="007153F9">
        <w:rPr>
          <w:rFonts w:ascii="Verdana" w:hAnsi="Verdana" w:cs="Arial"/>
          <w:b/>
          <w:sz w:val="22"/>
          <w:szCs w:val="22"/>
        </w:rPr>
        <w:t>eksport mięsa wołowego wraz z cielęcym</w:t>
      </w:r>
      <w:r w:rsidRPr="007153F9">
        <w:rPr>
          <w:rFonts w:ascii="Verdana" w:hAnsi="Verdana" w:cs="Arial"/>
          <w:sz w:val="22"/>
          <w:szCs w:val="22"/>
        </w:rPr>
        <w:t xml:space="preserve"> </w:t>
      </w:r>
      <w:r w:rsidR="00520E97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color w:val="000000" w:themeColor="text1"/>
          <w:sz w:val="22"/>
          <w:szCs w:val="22"/>
        </w:rPr>
        <w:t xml:space="preserve">(CN 0201 i 0202) </w:t>
      </w:r>
      <w:r w:rsidRPr="007153F9">
        <w:rPr>
          <w:rFonts w:ascii="Verdana" w:hAnsi="Verdana" w:cs="Arial"/>
          <w:sz w:val="22"/>
          <w:szCs w:val="22"/>
        </w:rPr>
        <w:t>wyniósł 222 tys. ton i był o 6% większy niż przed rokiem, a jego wartość osiągnęła poziom 742 mln euro,</w:t>
      </w:r>
      <w:r w:rsidRPr="007153F9" w:rsidDel="00EE0DD5">
        <w:rPr>
          <w:rFonts w:ascii="Verdana" w:hAnsi="Verdana" w:cs="Arial"/>
          <w:sz w:val="22"/>
          <w:szCs w:val="22"/>
        </w:rPr>
        <w:t xml:space="preserve"> </w:t>
      </w:r>
      <w:r w:rsidRPr="007153F9">
        <w:rPr>
          <w:rFonts w:ascii="Verdana" w:hAnsi="Verdana" w:cs="Arial"/>
          <w:sz w:val="22"/>
          <w:szCs w:val="22"/>
        </w:rPr>
        <w:t>o 9% wyższy. Wolumen eksportu tego mięsa do państw UE wzrósł do 195 tys. ton</w:t>
      </w:r>
      <w:r w:rsidRPr="007153F9" w:rsidDel="00EE0DD5">
        <w:rPr>
          <w:rFonts w:ascii="Verdana" w:hAnsi="Verdana" w:cs="Arial"/>
          <w:sz w:val="22"/>
          <w:szCs w:val="22"/>
        </w:rPr>
        <w:t xml:space="preserve"> </w:t>
      </w:r>
      <w:r w:rsidRPr="007153F9">
        <w:rPr>
          <w:rFonts w:ascii="Verdana" w:hAnsi="Verdana" w:cs="Arial"/>
          <w:sz w:val="22"/>
          <w:szCs w:val="22"/>
        </w:rPr>
        <w:t>(o 5%), a wpływy z tego tytułu z</w:t>
      </w:r>
      <w:r w:rsidR="00354C88">
        <w:rPr>
          <w:rFonts w:ascii="Verdana" w:hAnsi="Verdana" w:cs="Arial"/>
          <w:sz w:val="22"/>
          <w:szCs w:val="22"/>
        </w:rPr>
        <w:t>więk</w:t>
      </w:r>
      <w:r w:rsidRPr="007153F9">
        <w:rPr>
          <w:rFonts w:ascii="Verdana" w:hAnsi="Verdana" w:cs="Arial"/>
          <w:sz w:val="22"/>
          <w:szCs w:val="22"/>
        </w:rPr>
        <w:t>szyły się do 651 mln euro (o 9%). Udział krajów UE zarówno w wolumenie, jak i wartości polskiego eksportu mięsa wołowego i cielęcego w analizowanym okresie wyniósł 88%. Mięso wołowe i cielęce eksportowane było również do krajów nienależących do Unii. W 2016 r. i w okresie siedmiu miesięcy 2017 r. Polska była liderem wśród państw UE w eksporcie mięsa wołowego i cielęcego do krajów trzecich.</w:t>
      </w:r>
    </w:p>
    <w:p w:rsidR="00330EEF" w:rsidRPr="007153F9" w:rsidRDefault="00330EEF" w:rsidP="008741AD">
      <w:pPr>
        <w:spacing w:before="120" w:after="60"/>
        <w:jc w:val="both"/>
        <w:rPr>
          <w:rFonts w:ascii="Verdana" w:hAnsi="Verdana" w:cs="Arial"/>
          <w:b/>
          <w:bCs/>
          <w:sz w:val="22"/>
          <w:szCs w:val="22"/>
        </w:rPr>
      </w:pPr>
      <w:r w:rsidRPr="007153F9">
        <w:rPr>
          <w:rFonts w:ascii="Verdana" w:hAnsi="Verdana" w:cs="Arial"/>
          <w:b/>
          <w:bCs/>
          <w:sz w:val="22"/>
          <w:szCs w:val="22"/>
        </w:rPr>
        <w:t xml:space="preserve">Handel zagraniczny </w:t>
      </w:r>
      <w:r w:rsidR="007031CB">
        <w:rPr>
          <w:rFonts w:ascii="Verdana" w:hAnsi="Verdana" w:cs="Arial"/>
          <w:b/>
          <w:sz w:val="22"/>
          <w:szCs w:val="22"/>
        </w:rPr>
        <w:t>mięsem wołowym</w:t>
      </w:r>
    </w:p>
    <w:p w:rsidR="00330EEF" w:rsidRPr="00645014" w:rsidRDefault="00330EEF" w:rsidP="00330EEF">
      <w:pPr>
        <w:spacing w:before="20"/>
        <w:jc w:val="both"/>
        <w:rPr>
          <w:rFonts w:ascii="Verdana" w:hAnsi="Verdana"/>
          <w:noProof/>
        </w:rPr>
      </w:pPr>
      <w:r>
        <w:rPr>
          <w:noProof/>
        </w:rPr>
        <w:drawing>
          <wp:inline distT="0" distB="0" distL="0" distR="0" wp14:anchorId="7351272F" wp14:editId="0B591B4E">
            <wp:extent cx="5941060" cy="3485304"/>
            <wp:effectExtent l="0" t="0" r="21590" b="2032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30EEF" w:rsidRDefault="00330EEF" w:rsidP="00330EEF">
      <w:pPr>
        <w:spacing w:before="20"/>
        <w:jc w:val="both"/>
        <w:rPr>
          <w:rFonts w:ascii="Verdana" w:hAnsi="Verdana" w:cs="Arial"/>
          <w:bCs/>
          <w:spacing w:val="-2"/>
          <w:sz w:val="20"/>
        </w:rPr>
      </w:pPr>
      <w:r w:rsidRPr="00645014">
        <w:rPr>
          <w:rFonts w:ascii="Verdana" w:hAnsi="Verdana" w:cs="Arial"/>
          <w:bCs/>
          <w:spacing w:val="-2"/>
          <w:sz w:val="20"/>
        </w:rPr>
        <w:t xml:space="preserve">Źródło: </w:t>
      </w:r>
      <w:r w:rsidRPr="00F935D3">
        <w:rPr>
          <w:rFonts w:ascii="Verdana" w:hAnsi="Verdana" w:cs="Arial"/>
          <w:bCs/>
          <w:spacing w:val="-2"/>
          <w:sz w:val="20"/>
        </w:rPr>
        <w:t xml:space="preserve">opracowanie </w:t>
      </w:r>
      <w:r>
        <w:rPr>
          <w:rFonts w:ascii="Verdana" w:hAnsi="Verdana" w:cs="Arial"/>
          <w:bCs/>
          <w:spacing w:val="-2"/>
          <w:sz w:val="20"/>
        </w:rPr>
        <w:t>Biura Analiz i Strategii Krajowego Ośrodka Wsparcia Rolnictwa</w:t>
      </w:r>
      <w:r w:rsidRPr="00F935D3">
        <w:rPr>
          <w:rFonts w:ascii="Verdana" w:hAnsi="Verdana" w:cs="Arial"/>
          <w:bCs/>
          <w:spacing w:val="-2"/>
          <w:sz w:val="20"/>
        </w:rPr>
        <w:t xml:space="preserve"> na podstawie danych Ministerstwa Finansów i IERiGŻ – PIB, </w:t>
      </w:r>
      <w:r>
        <w:rPr>
          <w:rFonts w:ascii="Verdana" w:hAnsi="Verdana" w:cs="Arial"/>
          <w:bCs/>
          <w:spacing w:val="-2"/>
          <w:sz w:val="20"/>
        </w:rPr>
        <w:t xml:space="preserve">za I-VII </w:t>
      </w:r>
      <w:r w:rsidRPr="00F935D3">
        <w:rPr>
          <w:rFonts w:ascii="Verdana" w:hAnsi="Verdana" w:cs="Arial"/>
          <w:bCs/>
          <w:spacing w:val="-2"/>
          <w:sz w:val="20"/>
        </w:rPr>
        <w:t>201</w:t>
      </w:r>
      <w:r>
        <w:rPr>
          <w:rFonts w:ascii="Verdana" w:hAnsi="Verdana" w:cs="Arial"/>
          <w:bCs/>
          <w:spacing w:val="-2"/>
          <w:sz w:val="20"/>
        </w:rPr>
        <w:t>7</w:t>
      </w:r>
      <w:r w:rsidRPr="00F935D3">
        <w:rPr>
          <w:rFonts w:ascii="Verdana" w:hAnsi="Verdana" w:cs="Arial"/>
          <w:bCs/>
          <w:spacing w:val="-2"/>
          <w:sz w:val="20"/>
        </w:rPr>
        <w:t xml:space="preserve"> r. dane wstępne, </w:t>
      </w:r>
      <w:r>
        <w:rPr>
          <w:rFonts w:ascii="Verdana" w:hAnsi="Verdana" w:cs="Arial"/>
          <w:bCs/>
          <w:spacing w:val="-2"/>
          <w:sz w:val="20"/>
        </w:rPr>
        <w:br/>
        <w:t xml:space="preserve">za cały </w:t>
      </w:r>
      <w:r w:rsidRPr="00F935D3">
        <w:rPr>
          <w:rFonts w:ascii="Verdana" w:hAnsi="Verdana" w:cs="Arial"/>
          <w:bCs/>
          <w:spacing w:val="-2"/>
          <w:sz w:val="20"/>
        </w:rPr>
        <w:t xml:space="preserve">2017 r. </w:t>
      </w:r>
      <w:r>
        <w:rPr>
          <w:rFonts w:ascii="Verdana" w:hAnsi="Verdana" w:cs="Arial"/>
          <w:bCs/>
          <w:spacing w:val="-2"/>
          <w:sz w:val="20"/>
        </w:rPr>
        <w:t>szacunek</w:t>
      </w:r>
      <w:r w:rsidRPr="00F935D3">
        <w:rPr>
          <w:rFonts w:ascii="Verdana" w:hAnsi="Verdana" w:cs="Arial"/>
          <w:bCs/>
          <w:spacing w:val="-2"/>
          <w:sz w:val="20"/>
        </w:rPr>
        <w:t xml:space="preserve"> IERiGŻ – PIB.</w:t>
      </w:r>
    </w:p>
    <w:p w:rsidR="00520E97" w:rsidRPr="007153F9" w:rsidRDefault="00520E97" w:rsidP="00520E97">
      <w:pPr>
        <w:spacing w:before="120" w:line="360" w:lineRule="auto"/>
        <w:jc w:val="both"/>
        <w:rPr>
          <w:rFonts w:ascii="Verdana" w:hAnsi="Verdana" w:cs="Arial"/>
          <w:sz w:val="22"/>
          <w:szCs w:val="22"/>
        </w:rPr>
      </w:pPr>
      <w:r w:rsidRPr="00520E97">
        <w:rPr>
          <w:rFonts w:ascii="Verdana" w:hAnsi="Verdana" w:cs="Arial"/>
          <w:spacing w:val="-2"/>
          <w:sz w:val="22"/>
          <w:szCs w:val="22"/>
        </w:rPr>
        <w:t>Od stycznia do lipca 2017 r. nastąpił dalszy spadek polskiego eksportu do państw WNP do 2 tys. ton i 5 mln euro (odpowiednio o 54% i 70% w odniesieniu do siedmiu</w:t>
      </w:r>
      <w:r w:rsidRPr="007153F9">
        <w:rPr>
          <w:rFonts w:ascii="Verdana" w:hAnsi="Verdana" w:cs="Arial"/>
          <w:sz w:val="22"/>
          <w:szCs w:val="22"/>
        </w:rPr>
        <w:t xml:space="preserve"> miesięcy 2016 r.), a udział tych krajów w wolumenie i wartości polskiego eksportu zmniejszył się z 2% do 1%. W pierwszych siedmiu miesiącach 2017 r. wołowina </w:t>
      </w:r>
      <w:r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>i cielęcina nie była wywożona do Tadżykistanu i Uzbekistanu, a do Turkmenistanu eksport tych produktów znacząco się zmniejszył. Do 24 tys. ton i 86 mln euro wzrósł natomiast wywóz wołowiny do pozostałych krajów</w:t>
      </w:r>
      <w:r w:rsidRPr="007153F9">
        <w:rPr>
          <w:rStyle w:val="Odwoanieprzypisudolnego"/>
          <w:rFonts w:ascii="Verdana" w:hAnsi="Verdana" w:cs="Arial"/>
          <w:sz w:val="22"/>
          <w:szCs w:val="22"/>
        </w:rPr>
        <w:footnoteReference w:id="5"/>
      </w:r>
      <w:r w:rsidRPr="007153F9">
        <w:rPr>
          <w:rFonts w:ascii="Verdana" w:hAnsi="Verdana" w:cs="Arial"/>
          <w:sz w:val="22"/>
          <w:szCs w:val="22"/>
        </w:rPr>
        <w:t xml:space="preserve"> (głównie do Izraela, Hongkongu, Turcji oraz Bośni i Hercegowiny). W ujęciu ilościowym było to o 27% więcej niż w tym samym okresie 2016 r., a w ujęciu wartościowym – o 33% więcej. Udział krajów nienależących do UE i WNP wyniósł 11% </w:t>
      </w:r>
      <w:r w:rsidRPr="007153F9">
        <w:rPr>
          <w:rFonts w:ascii="Verdana" w:hAnsi="Verdana" w:cs="Arial"/>
          <w:spacing w:val="-2"/>
          <w:sz w:val="22"/>
          <w:szCs w:val="22"/>
        </w:rPr>
        <w:t xml:space="preserve">w wolumenie, a 12% </w:t>
      </w:r>
      <w:r>
        <w:rPr>
          <w:rFonts w:ascii="Verdana" w:hAnsi="Verdana" w:cs="Arial"/>
          <w:spacing w:val="-2"/>
          <w:sz w:val="22"/>
          <w:szCs w:val="22"/>
        </w:rPr>
        <w:br/>
      </w:r>
      <w:r w:rsidRPr="007153F9">
        <w:rPr>
          <w:rFonts w:ascii="Verdana" w:hAnsi="Verdana" w:cs="Arial"/>
          <w:spacing w:val="-2"/>
          <w:sz w:val="22"/>
          <w:szCs w:val="22"/>
        </w:rPr>
        <w:t>w wartości polskiego eksportu wołowiny i cielęciny.</w:t>
      </w:r>
    </w:p>
    <w:p w:rsidR="00330EEF" w:rsidRPr="007153F9" w:rsidRDefault="00330EEF" w:rsidP="00330EEF">
      <w:pPr>
        <w:spacing w:before="120" w:line="360" w:lineRule="auto"/>
        <w:jc w:val="both"/>
        <w:rPr>
          <w:rFonts w:ascii="Verdana" w:hAnsi="Verdana" w:cs="Arial"/>
          <w:i/>
          <w:sz w:val="22"/>
          <w:szCs w:val="22"/>
        </w:rPr>
      </w:pPr>
      <w:r w:rsidRPr="007153F9">
        <w:rPr>
          <w:rFonts w:ascii="Verdana" w:hAnsi="Verdana" w:cs="Arial"/>
          <w:i/>
          <w:sz w:val="22"/>
          <w:szCs w:val="22"/>
        </w:rPr>
        <w:t xml:space="preserve">Przewidywany wzrost popytu na unijną wołowinę m.in. ze strony Hongkongu, Izraela, Filipin i Algierii oraz konkurencyjność cenowa polskiej wołowiny na rynku unijnym mogą przyczynić się do zwiększenia eksportu tych produktów z Polski. </w:t>
      </w:r>
      <w:r w:rsidR="00520E97">
        <w:rPr>
          <w:rFonts w:ascii="Verdana" w:hAnsi="Verdana" w:cs="Arial"/>
          <w:i/>
          <w:sz w:val="22"/>
          <w:szCs w:val="22"/>
        </w:rPr>
        <w:br/>
      </w:r>
      <w:r w:rsidRPr="007153F9">
        <w:rPr>
          <w:rFonts w:ascii="Verdana" w:hAnsi="Verdana" w:cs="Arial"/>
          <w:i/>
          <w:sz w:val="22"/>
          <w:szCs w:val="22"/>
        </w:rPr>
        <w:t xml:space="preserve">W 2017 r. wolumen polskiego eksportu mięsa wołowego i cielęcego będzie prawdopodobnie o około 5% większy od zrealizowanego w 2016 r., a jego wartość może być o 7% większa i prawdopodobnie wyniesie 1,26 mld euro wobec </w:t>
      </w:r>
      <w:r w:rsidR="00DE2305">
        <w:rPr>
          <w:rFonts w:ascii="Verdana" w:hAnsi="Verdana" w:cs="Arial"/>
          <w:i/>
          <w:sz w:val="22"/>
          <w:szCs w:val="22"/>
        </w:rPr>
        <w:br/>
      </w:r>
      <w:r w:rsidRPr="007153F9">
        <w:rPr>
          <w:rFonts w:ascii="Verdana" w:hAnsi="Verdana" w:cs="Arial"/>
          <w:i/>
          <w:sz w:val="22"/>
          <w:szCs w:val="22"/>
        </w:rPr>
        <w:t>1,18 mld euro w 2016 r. Korzystne uwarunkowanie dla eksportu wołowiny z Polski stanowi orzeczenie Trybunału Konstytucyjnego z grudnia 2014 r. co do niezgodności zakazu uboju rytualnego z konstytucj</w:t>
      </w:r>
      <w:r w:rsidR="0084371A" w:rsidRPr="007153F9">
        <w:rPr>
          <w:rFonts w:ascii="Verdana" w:hAnsi="Verdana" w:cs="Arial"/>
          <w:i/>
          <w:sz w:val="22"/>
          <w:szCs w:val="22"/>
        </w:rPr>
        <w:t>ą</w:t>
      </w:r>
      <w:r w:rsidRPr="007153F9">
        <w:rPr>
          <w:rFonts w:ascii="Verdana" w:hAnsi="Verdana" w:cs="Arial"/>
          <w:i/>
          <w:sz w:val="22"/>
          <w:szCs w:val="22"/>
        </w:rPr>
        <w:t xml:space="preserve">. Wzrostowi eksportu może również sprzyjać posiadanie przez Polskę statusu kraju o znikomym ryzyku wystąpienia BSE, a także zniesienie przez Katar zakazu eksportu mięsa wołowego </w:t>
      </w:r>
      <w:r w:rsidR="00DE2305">
        <w:rPr>
          <w:rFonts w:ascii="Verdana" w:hAnsi="Verdana" w:cs="Arial"/>
          <w:i/>
          <w:sz w:val="22"/>
          <w:szCs w:val="22"/>
        </w:rPr>
        <w:br/>
      </w:r>
      <w:r w:rsidRPr="007153F9">
        <w:rPr>
          <w:rFonts w:ascii="Verdana" w:hAnsi="Verdana" w:cs="Arial"/>
          <w:i/>
          <w:sz w:val="22"/>
          <w:szCs w:val="22"/>
        </w:rPr>
        <w:t>i jego przetworów.</w:t>
      </w:r>
    </w:p>
    <w:p w:rsidR="001F2156" w:rsidRDefault="00330EEF" w:rsidP="001F2156">
      <w:pPr>
        <w:spacing w:line="360" w:lineRule="auto"/>
        <w:ind w:right="-17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 xml:space="preserve">W ciągu siedmiu miesięcy 2017 r., w porównaniu z analogicznym okresem 2016 r., </w:t>
      </w:r>
      <w:r w:rsidRPr="007153F9">
        <w:rPr>
          <w:rFonts w:ascii="Verdana" w:hAnsi="Verdana" w:cs="Arial"/>
          <w:b/>
          <w:sz w:val="22"/>
          <w:szCs w:val="22"/>
        </w:rPr>
        <w:t>eksport mięsa wieprzowego</w:t>
      </w:r>
      <w:r w:rsidRPr="007153F9">
        <w:rPr>
          <w:rFonts w:ascii="Verdana" w:hAnsi="Verdana" w:cs="Arial"/>
          <w:sz w:val="22"/>
          <w:szCs w:val="22"/>
        </w:rPr>
        <w:t xml:space="preserve"> </w:t>
      </w:r>
      <w:r w:rsidRPr="007153F9">
        <w:rPr>
          <w:rFonts w:ascii="Verdana" w:hAnsi="Verdana" w:cs="Arial"/>
          <w:color w:val="000000" w:themeColor="text1"/>
          <w:sz w:val="22"/>
          <w:szCs w:val="22"/>
        </w:rPr>
        <w:t xml:space="preserve">(CN 0203) </w:t>
      </w:r>
      <w:r w:rsidRPr="007153F9">
        <w:rPr>
          <w:rFonts w:ascii="Verdana" w:hAnsi="Verdana" w:cs="Arial"/>
          <w:sz w:val="22"/>
          <w:szCs w:val="22"/>
        </w:rPr>
        <w:t xml:space="preserve">z Polski wzrósł o 8%, do 274 tys. ton, </w:t>
      </w:r>
      <w:r w:rsidR="00520E97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pacing w:val="-4"/>
          <w:sz w:val="22"/>
          <w:szCs w:val="22"/>
        </w:rPr>
        <w:t xml:space="preserve">a jego wartość zwiększyła </w:t>
      </w:r>
      <w:r w:rsidRPr="007153F9">
        <w:rPr>
          <w:rFonts w:ascii="Verdana" w:hAnsi="Verdana" w:cs="Arial"/>
          <w:sz w:val="22"/>
          <w:szCs w:val="22"/>
        </w:rPr>
        <w:t xml:space="preserve">o 28%, </w:t>
      </w:r>
      <w:r w:rsidRPr="007153F9">
        <w:rPr>
          <w:rFonts w:ascii="Verdana" w:hAnsi="Verdana" w:cs="Arial"/>
          <w:spacing w:val="-4"/>
          <w:sz w:val="22"/>
          <w:szCs w:val="22"/>
        </w:rPr>
        <w:t>do 564 mln euro</w:t>
      </w:r>
      <w:r w:rsidRPr="007153F9">
        <w:rPr>
          <w:rFonts w:ascii="Verdana" w:hAnsi="Verdana" w:cs="Arial"/>
          <w:sz w:val="22"/>
          <w:szCs w:val="22"/>
        </w:rPr>
        <w:t xml:space="preserve">. </w:t>
      </w:r>
    </w:p>
    <w:p w:rsidR="00520E97" w:rsidRPr="007153F9" w:rsidRDefault="00520E97" w:rsidP="00520E97">
      <w:pPr>
        <w:spacing w:line="360" w:lineRule="auto"/>
        <w:ind w:right="-17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 xml:space="preserve">W analizowanym okresie 2017 r. udział krajów UE w wolumenie polskiego eksportu mięsa wieprzowego zmniejszył się z 75% do 71%. Do krajów UE skierowano </w:t>
      </w:r>
      <w:r w:rsidR="00F525DF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 xml:space="preserve">193 tys. ton wieprzowiny o wartości 384 mln euro. Wolumen eksportu był o 2% większy niż przed rokiem, a jego wartość – o 18% większa. Spośród krajów UE, </w:t>
      </w:r>
      <w:r w:rsidR="00F525DF">
        <w:rPr>
          <w:rFonts w:ascii="Verdana" w:hAnsi="Verdana" w:cs="Arial"/>
          <w:sz w:val="22"/>
          <w:szCs w:val="22"/>
        </w:rPr>
        <w:br/>
      </w:r>
      <w:r w:rsidRPr="00F525DF">
        <w:rPr>
          <w:rFonts w:ascii="Verdana" w:hAnsi="Verdana" w:cs="Arial"/>
          <w:spacing w:val="-4"/>
          <w:sz w:val="22"/>
          <w:szCs w:val="22"/>
        </w:rPr>
        <w:t>w okresie styczeń–lipiec 2017 r. największymi odbiorcami mięsa wieprzowego z Polski</w:t>
      </w:r>
      <w:r w:rsidRPr="007153F9">
        <w:rPr>
          <w:rFonts w:ascii="Verdana" w:hAnsi="Verdana" w:cs="Arial"/>
          <w:sz w:val="22"/>
          <w:szCs w:val="22"/>
        </w:rPr>
        <w:t xml:space="preserve"> były: Włochy (kraj ten miał 13% udziału w wolumenie i 11% udziału w wartości </w:t>
      </w:r>
      <w:r w:rsidRPr="00F525DF">
        <w:rPr>
          <w:rFonts w:ascii="Verdana" w:hAnsi="Verdana" w:cs="Arial"/>
          <w:spacing w:val="-4"/>
          <w:sz w:val="22"/>
          <w:szCs w:val="22"/>
        </w:rPr>
        <w:t>polskiego eksportu tego mięsa), Niemcy (odpowiednio 15% i 10%), Czechy (6% i 8%)</w:t>
      </w:r>
      <w:r w:rsidRPr="007153F9">
        <w:rPr>
          <w:rFonts w:ascii="Verdana" w:hAnsi="Verdana" w:cs="Arial"/>
          <w:sz w:val="22"/>
          <w:szCs w:val="22"/>
        </w:rPr>
        <w:t xml:space="preserve"> </w:t>
      </w:r>
      <w:r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 xml:space="preserve">i Słowacja (6% i 7%). Udział krajów pozostałych w wolumenie polskiego eksportu mięsa wieprzowego zwiększył się z 24% do 29%. Do krajów tych skierowano łącznie 78 tys. ton mięsa </w:t>
      </w:r>
      <w:r w:rsidR="00660B06">
        <w:rPr>
          <w:rFonts w:ascii="Verdana" w:hAnsi="Verdana" w:cs="Arial"/>
          <w:sz w:val="22"/>
          <w:szCs w:val="22"/>
        </w:rPr>
        <w:t>o wartości</w:t>
      </w:r>
      <w:r w:rsidRPr="007153F9">
        <w:rPr>
          <w:rFonts w:ascii="Verdana" w:hAnsi="Verdana" w:cs="Arial"/>
          <w:sz w:val="22"/>
          <w:szCs w:val="22"/>
        </w:rPr>
        <w:t xml:space="preserve"> 175 mln euro. Znaczącym odbiorcą (z 13% udziałem w wolumenie i 19% udziałem w wartości eksportu) były Stany Zjednoczone, do których wywieziono 34 tys. ton mięsa wieprzowego </w:t>
      </w:r>
      <w:r w:rsidR="00483B3A">
        <w:rPr>
          <w:rFonts w:ascii="Verdana" w:hAnsi="Verdana" w:cs="Arial"/>
          <w:sz w:val="22"/>
          <w:szCs w:val="22"/>
        </w:rPr>
        <w:t>uzyskując</w:t>
      </w:r>
      <w:r w:rsidRPr="007153F9">
        <w:rPr>
          <w:rFonts w:ascii="Verdana" w:hAnsi="Verdana" w:cs="Arial"/>
          <w:sz w:val="22"/>
          <w:szCs w:val="22"/>
        </w:rPr>
        <w:t xml:space="preserve"> </w:t>
      </w:r>
      <w:r w:rsidR="007417A4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>105 mln euro. Wieprzowina z Polski kierowana była również do Hongkongu (6% udziału w wolumenie i 5% udziału w wartości) i Kanady (odpowiednio 2% i 3%).</w:t>
      </w:r>
    </w:p>
    <w:p w:rsidR="00330EEF" w:rsidRPr="007153F9" w:rsidRDefault="00330EEF" w:rsidP="001F2156">
      <w:pPr>
        <w:spacing w:after="60"/>
        <w:ind w:right="-17"/>
        <w:jc w:val="both"/>
        <w:rPr>
          <w:rFonts w:ascii="Verdana" w:hAnsi="Verdana" w:cs="Arial"/>
          <w:b/>
          <w:bCs/>
          <w:sz w:val="22"/>
          <w:szCs w:val="22"/>
        </w:rPr>
      </w:pPr>
      <w:r w:rsidRPr="007153F9">
        <w:rPr>
          <w:rFonts w:ascii="Verdana" w:hAnsi="Verdana" w:cs="Arial"/>
          <w:b/>
          <w:bCs/>
          <w:sz w:val="22"/>
          <w:szCs w:val="22"/>
        </w:rPr>
        <w:t xml:space="preserve">Handel zagraniczny </w:t>
      </w:r>
      <w:r w:rsidR="00D85C51">
        <w:rPr>
          <w:rFonts w:ascii="Verdana" w:hAnsi="Verdana" w:cs="Arial"/>
          <w:b/>
          <w:sz w:val="22"/>
          <w:szCs w:val="22"/>
        </w:rPr>
        <w:t>mięsem wieprzowym</w:t>
      </w:r>
    </w:p>
    <w:p w:rsidR="00330EEF" w:rsidRDefault="00330EEF" w:rsidP="00330EEF">
      <w:pPr>
        <w:spacing w:before="20"/>
        <w:jc w:val="both"/>
        <w:rPr>
          <w:rFonts w:ascii="Verdana" w:hAnsi="Verdana"/>
          <w:noProof/>
          <w:highlight w:val="yellow"/>
        </w:rPr>
      </w:pPr>
      <w:r>
        <w:rPr>
          <w:noProof/>
        </w:rPr>
        <w:drawing>
          <wp:inline distT="0" distB="0" distL="0" distR="0" wp14:anchorId="04E6F9A9" wp14:editId="2C047A60">
            <wp:extent cx="5941060" cy="3487830"/>
            <wp:effectExtent l="0" t="0" r="21590" b="1778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30EEF" w:rsidRDefault="00330EEF" w:rsidP="00330EEF">
      <w:pPr>
        <w:spacing w:before="20"/>
        <w:jc w:val="both"/>
        <w:rPr>
          <w:rFonts w:ascii="Verdana" w:hAnsi="Verdana" w:cs="Arial"/>
          <w:bCs/>
          <w:spacing w:val="-2"/>
          <w:sz w:val="20"/>
        </w:rPr>
      </w:pPr>
      <w:r w:rsidRPr="00645014">
        <w:rPr>
          <w:rFonts w:ascii="Verdana" w:hAnsi="Verdana" w:cs="Arial"/>
          <w:bCs/>
          <w:spacing w:val="-2"/>
          <w:sz w:val="20"/>
        </w:rPr>
        <w:t xml:space="preserve">Źródło: </w:t>
      </w:r>
      <w:r w:rsidRPr="00F935D3">
        <w:rPr>
          <w:rFonts w:ascii="Verdana" w:hAnsi="Verdana" w:cs="Arial"/>
          <w:bCs/>
          <w:spacing w:val="-2"/>
          <w:sz w:val="20"/>
        </w:rPr>
        <w:t xml:space="preserve">opracowanie </w:t>
      </w:r>
      <w:r>
        <w:rPr>
          <w:rFonts w:ascii="Verdana" w:hAnsi="Verdana" w:cs="Arial"/>
          <w:bCs/>
          <w:spacing w:val="-2"/>
          <w:sz w:val="20"/>
        </w:rPr>
        <w:t>Biura Analiz i Strategii Krajowego Ośrodka Wsparcia Rolnictwa</w:t>
      </w:r>
      <w:r w:rsidRPr="00F935D3">
        <w:rPr>
          <w:rFonts w:ascii="Verdana" w:hAnsi="Verdana" w:cs="Arial"/>
          <w:bCs/>
          <w:spacing w:val="-2"/>
          <w:sz w:val="20"/>
        </w:rPr>
        <w:t xml:space="preserve"> na podstawie danych Ministerstwa Finansów i IERiGŻ – PIB, </w:t>
      </w:r>
      <w:r>
        <w:rPr>
          <w:rFonts w:ascii="Verdana" w:hAnsi="Verdana" w:cs="Arial"/>
          <w:bCs/>
          <w:spacing w:val="-2"/>
          <w:sz w:val="20"/>
        </w:rPr>
        <w:t xml:space="preserve">za I-VII </w:t>
      </w:r>
      <w:r w:rsidRPr="00F935D3">
        <w:rPr>
          <w:rFonts w:ascii="Verdana" w:hAnsi="Verdana" w:cs="Arial"/>
          <w:bCs/>
          <w:spacing w:val="-2"/>
          <w:sz w:val="20"/>
        </w:rPr>
        <w:t>201</w:t>
      </w:r>
      <w:r>
        <w:rPr>
          <w:rFonts w:ascii="Verdana" w:hAnsi="Verdana" w:cs="Arial"/>
          <w:bCs/>
          <w:spacing w:val="-2"/>
          <w:sz w:val="20"/>
        </w:rPr>
        <w:t>7</w:t>
      </w:r>
      <w:r w:rsidRPr="00F935D3">
        <w:rPr>
          <w:rFonts w:ascii="Verdana" w:hAnsi="Verdana" w:cs="Arial"/>
          <w:bCs/>
          <w:spacing w:val="-2"/>
          <w:sz w:val="20"/>
        </w:rPr>
        <w:t xml:space="preserve"> r. dane wstępne, </w:t>
      </w:r>
      <w:r>
        <w:rPr>
          <w:rFonts w:ascii="Verdana" w:hAnsi="Verdana" w:cs="Arial"/>
          <w:bCs/>
          <w:spacing w:val="-2"/>
          <w:sz w:val="20"/>
        </w:rPr>
        <w:br/>
        <w:t xml:space="preserve">za cały </w:t>
      </w:r>
      <w:r w:rsidRPr="00F935D3">
        <w:rPr>
          <w:rFonts w:ascii="Verdana" w:hAnsi="Verdana" w:cs="Arial"/>
          <w:bCs/>
          <w:spacing w:val="-2"/>
          <w:sz w:val="20"/>
        </w:rPr>
        <w:t xml:space="preserve">2017 r. </w:t>
      </w:r>
      <w:r>
        <w:rPr>
          <w:rFonts w:ascii="Verdana" w:hAnsi="Verdana" w:cs="Arial"/>
          <w:bCs/>
          <w:spacing w:val="-2"/>
          <w:sz w:val="20"/>
        </w:rPr>
        <w:t>szacunek</w:t>
      </w:r>
      <w:r w:rsidRPr="00F935D3">
        <w:rPr>
          <w:rFonts w:ascii="Verdana" w:hAnsi="Verdana" w:cs="Arial"/>
          <w:bCs/>
          <w:spacing w:val="-2"/>
          <w:sz w:val="20"/>
        </w:rPr>
        <w:t xml:space="preserve"> IERiGŻ – PIB.</w:t>
      </w:r>
    </w:p>
    <w:p w:rsidR="00330EEF" w:rsidRPr="00B6292C" w:rsidRDefault="00330EEF" w:rsidP="00330EEF">
      <w:pPr>
        <w:spacing w:before="20"/>
        <w:jc w:val="both"/>
        <w:rPr>
          <w:rFonts w:ascii="Verdana" w:hAnsi="Verdana" w:cs="Arial"/>
          <w:b/>
          <w:bCs/>
          <w:sz w:val="20"/>
        </w:rPr>
      </w:pPr>
    </w:p>
    <w:p w:rsidR="00330EEF" w:rsidRPr="007153F9" w:rsidRDefault="006D40D1" w:rsidP="00330EEF">
      <w:pPr>
        <w:spacing w:line="360" w:lineRule="auto"/>
        <w:jc w:val="both"/>
        <w:rPr>
          <w:rFonts w:ascii="Verdana" w:hAnsi="Verdana" w:cs="Arial"/>
          <w:i/>
          <w:sz w:val="22"/>
          <w:szCs w:val="22"/>
        </w:rPr>
      </w:pPr>
      <w:r w:rsidRPr="006D40D1">
        <w:rPr>
          <w:rFonts w:ascii="Verdana" w:hAnsi="Verdana" w:cs="Arial"/>
          <w:i/>
          <w:spacing w:val="-2"/>
          <w:sz w:val="22"/>
          <w:szCs w:val="22"/>
        </w:rPr>
        <w:t>W 2017 r.</w:t>
      </w:r>
      <w:r w:rsidR="00330EEF" w:rsidRPr="006D40D1">
        <w:rPr>
          <w:rFonts w:ascii="Verdana" w:hAnsi="Verdana" w:cs="Arial"/>
          <w:i/>
          <w:spacing w:val="-2"/>
          <w:sz w:val="22"/>
          <w:szCs w:val="22"/>
        </w:rPr>
        <w:t xml:space="preserve"> eksport mięsa wieprzowego z Polski może być o </w:t>
      </w:r>
      <w:r w:rsidR="005B012A" w:rsidRPr="006D40D1">
        <w:rPr>
          <w:rFonts w:ascii="Verdana" w:hAnsi="Verdana" w:cs="Arial"/>
          <w:i/>
          <w:spacing w:val="-2"/>
          <w:sz w:val="22"/>
          <w:szCs w:val="22"/>
        </w:rPr>
        <w:t>5</w:t>
      </w:r>
      <w:r w:rsidR="00330EEF" w:rsidRPr="006D40D1">
        <w:rPr>
          <w:rFonts w:ascii="Verdana" w:hAnsi="Verdana" w:cs="Arial"/>
          <w:i/>
          <w:spacing w:val="-2"/>
          <w:sz w:val="22"/>
          <w:szCs w:val="22"/>
        </w:rPr>
        <w:t>% większy niż w 2016 r.</w:t>
      </w:r>
      <w:r w:rsidR="00330EEF" w:rsidRPr="007153F9">
        <w:rPr>
          <w:rFonts w:ascii="Verdana" w:hAnsi="Verdana" w:cs="Arial"/>
          <w:i/>
          <w:sz w:val="22"/>
          <w:szCs w:val="22"/>
        </w:rPr>
        <w:t xml:space="preserve"> i prawdopodobnie wyniesie około 4</w:t>
      </w:r>
      <w:r w:rsidR="005B012A">
        <w:rPr>
          <w:rFonts w:ascii="Verdana" w:hAnsi="Verdana" w:cs="Arial"/>
          <w:i/>
          <w:sz w:val="22"/>
          <w:szCs w:val="22"/>
        </w:rPr>
        <w:t>60</w:t>
      </w:r>
      <w:r w:rsidR="00330EEF" w:rsidRPr="007153F9">
        <w:rPr>
          <w:rFonts w:ascii="Verdana" w:hAnsi="Verdana" w:cs="Arial"/>
          <w:i/>
          <w:sz w:val="22"/>
          <w:szCs w:val="22"/>
        </w:rPr>
        <w:t xml:space="preserve"> tys. ton, a jego wartość może osiągnąć poziom 94</w:t>
      </w:r>
      <w:r w:rsidR="005B012A">
        <w:rPr>
          <w:rFonts w:ascii="Verdana" w:hAnsi="Verdana" w:cs="Arial"/>
          <w:i/>
          <w:sz w:val="22"/>
          <w:szCs w:val="22"/>
        </w:rPr>
        <w:t>9</w:t>
      </w:r>
      <w:r w:rsidR="00330EEF" w:rsidRPr="007153F9">
        <w:rPr>
          <w:rFonts w:ascii="Verdana" w:hAnsi="Verdana" w:cs="Arial"/>
          <w:i/>
          <w:sz w:val="22"/>
          <w:szCs w:val="22"/>
        </w:rPr>
        <w:t xml:space="preserve"> mln euro (o 1</w:t>
      </w:r>
      <w:r w:rsidR="005B012A">
        <w:rPr>
          <w:rFonts w:ascii="Verdana" w:hAnsi="Verdana" w:cs="Arial"/>
          <w:i/>
          <w:sz w:val="22"/>
          <w:szCs w:val="22"/>
        </w:rPr>
        <w:t>9</w:t>
      </w:r>
      <w:r w:rsidR="00330EEF" w:rsidRPr="007153F9">
        <w:rPr>
          <w:rFonts w:ascii="Verdana" w:hAnsi="Verdana" w:cs="Arial"/>
          <w:i/>
          <w:sz w:val="22"/>
          <w:szCs w:val="22"/>
        </w:rPr>
        <w:t xml:space="preserve">% wyższy niż w 2016 r.). Wyższa dynamika eksportu </w:t>
      </w:r>
      <w:r w:rsidR="00EB2E88">
        <w:rPr>
          <w:rFonts w:ascii="Verdana" w:hAnsi="Verdana" w:cs="Arial"/>
          <w:i/>
          <w:sz w:val="22"/>
          <w:szCs w:val="22"/>
        </w:rPr>
        <w:br/>
      </w:r>
      <w:r w:rsidR="00330EEF" w:rsidRPr="007153F9">
        <w:rPr>
          <w:rFonts w:ascii="Verdana" w:hAnsi="Verdana" w:cs="Arial"/>
          <w:i/>
          <w:sz w:val="22"/>
          <w:szCs w:val="22"/>
        </w:rPr>
        <w:t xml:space="preserve">w ujęciu wartościowym od dynamiki wolumenu eksportu </w:t>
      </w:r>
      <w:r w:rsidR="005B012A">
        <w:rPr>
          <w:rFonts w:ascii="Verdana" w:hAnsi="Verdana" w:cs="Arial"/>
          <w:i/>
          <w:sz w:val="22"/>
          <w:szCs w:val="22"/>
        </w:rPr>
        <w:t>jest</w:t>
      </w:r>
      <w:r w:rsidR="00330EEF" w:rsidRPr="007153F9">
        <w:rPr>
          <w:rFonts w:ascii="Verdana" w:hAnsi="Verdana" w:cs="Arial"/>
          <w:i/>
          <w:sz w:val="22"/>
          <w:szCs w:val="22"/>
        </w:rPr>
        <w:t xml:space="preserve"> wynikiem między innymi wzrostu cen eksportowych. Zwiększeniu eksportu będzie sprzyjał wzrost popytu na wieprzowinę ze strony krajów unijnych (na przykład Niemiec), w których w 2017 r. produkcja żywca wieprzowego ulegnie zmniejszeniu. Jednocześnie możliwości lokowania polskiej wieprzowiny na rynkach zagranicznych mogą być utrudnione z powodu napływu tańszej wieprzowiny z USA i Brazylii, a także wprowadzenia przez niektóre kraje </w:t>
      </w:r>
      <w:r w:rsidR="00330EEF" w:rsidRPr="007153F9">
        <w:rPr>
          <w:rFonts w:ascii="Verdana" w:hAnsi="Verdana" w:cs="Arial"/>
          <w:i/>
          <w:spacing w:val="-8"/>
          <w:sz w:val="22"/>
          <w:szCs w:val="22"/>
        </w:rPr>
        <w:t>(np. Chiny, Japonię, Tajwan) ograniczeń na import wieprzowiny z Polski z powodu występowania w naszym kraju ognisk afrykańskiego pomoru świń (ASF).</w:t>
      </w:r>
    </w:p>
    <w:p w:rsidR="00330EEF" w:rsidRPr="007153F9" w:rsidRDefault="00330EEF" w:rsidP="00330EEF">
      <w:pPr>
        <w:spacing w:line="360" w:lineRule="auto"/>
        <w:ind w:right="-17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spacing w:val="-4"/>
          <w:sz w:val="22"/>
          <w:szCs w:val="22"/>
        </w:rPr>
        <w:t xml:space="preserve">W okresie styczeń–lipiec </w:t>
      </w:r>
      <w:r w:rsidRPr="007153F9">
        <w:rPr>
          <w:rFonts w:ascii="Verdana" w:hAnsi="Verdana" w:cs="Arial"/>
          <w:bCs/>
          <w:spacing w:val="-4"/>
          <w:sz w:val="22"/>
          <w:szCs w:val="22"/>
        </w:rPr>
        <w:t>2017 r.</w:t>
      </w:r>
      <w:r w:rsidRPr="007153F9">
        <w:rPr>
          <w:rFonts w:ascii="Verdana" w:hAnsi="Verdana" w:cs="Arial"/>
          <w:b/>
          <w:spacing w:val="-4"/>
          <w:sz w:val="22"/>
          <w:szCs w:val="22"/>
        </w:rPr>
        <w:t xml:space="preserve"> </w:t>
      </w:r>
      <w:r w:rsidRPr="007153F9">
        <w:rPr>
          <w:rFonts w:ascii="Verdana" w:hAnsi="Verdana" w:cs="Arial"/>
          <w:spacing w:val="-4"/>
          <w:sz w:val="22"/>
          <w:szCs w:val="22"/>
        </w:rPr>
        <w:t>z Polski</w:t>
      </w:r>
      <w:r w:rsidRPr="007153F9">
        <w:rPr>
          <w:rFonts w:ascii="Verdana" w:hAnsi="Verdana" w:cs="Arial"/>
          <w:b/>
          <w:spacing w:val="-4"/>
          <w:sz w:val="22"/>
          <w:szCs w:val="22"/>
        </w:rPr>
        <w:t xml:space="preserve"> wyeksportowano </w:t>
      </w:r>
      <w:r w:rsidRPr="007153F9">
        <w:rPr>
          <w:rFonts w:ascii="Verdana" w:hAnsi="Verdana" w:cs="Arial"/>
          <w:spacing w:val="-4"/>
          <w:sz w:val="22"/>
          <w:szCs w:val="22"/>
        </w:rPr>
        <w:t>202 tys. ton</w:t>
      </w:r>
      <w:r w:rsidRPr="007153F9">
        <w:rPr>
          <w:rFonts w:ascii="Verdana" w:hAnsi="Verdana" w:cs="Arial"/>
          <w:i/>
          <w:sz w:val="22"/>
          <w:szCs w:val="22"/>
        </w:rPr>
        <w:t xml:space="preserve"> </w:t>
      </w:r>
      <w:r w:rsidRPr="007153F9">
        <w:rPr>
          <w:rFonts w:ascii="Verdana" w:hAnsi="Verdana" w:cs="Arial"/>
          <w:b/>
          <w:spacing w:val="-4"/>
          <w:sz w:val="22"/>
          <w:szCs w:val="22"/>
        </w:rPr>
        <w:t>przetworów mięsnych</w:t>
      </w:r>
      <w:r w:rsidRPr="007153F9">
        <w:rPr>
          <w:rStyle w:val="Odwoanieprzypisudolnego"/>
          <w:rFonts w:ascii="Verdana" w:hAnsi="Verdana" w:cs="Arial"/>
          <w:spacing w:val="-4"/>
          <w:sz w:val="22"/>
          <w:szCs w:val="22"/>
        </w:rPr>
        <w:footnoteReference w:id="6"/>
      </w:r>
      <w:r w:rsidRPr="007153F9">
        <w:rPr>
          <w:rFonts w:ascii="Verdana" w:hAnsi="Verdana" w:cs="Arial"/>
          <w:bCs/>
          <w:spacing w:val="-4"/>
          <w:sz w:val="22"/>
          <w:szCs w:val="22"/>
        </w:rPr>
        <w:t xml:space="preserve">, </w:t>
      </w:r>
      <w:r w:rsidRPr="007153F9">
        <w:rPr>
          <w:rFonts w:ascii="Verdana" w:hAnsi="Verdana" w:cs="Arial"/>
          <w:spacing w:val="-4"/>
          <w:sz w:val="22"/>
          <w:szCs w:val="22"/>
        </w:rPr>
        <w:t>o 8% więcej niż przed rokiem, o wartości 592 mln euro, o 9% większej.</w:t>
      </w:r>
      <w:r w:rsidRPr="007153F9">
        <w:rPr>
          <w:rFonts w:ascii="Verdana" w:hAnsi="Verdana" w:cs="Arial"/>
          <w:sz w:val="22"/>
          <w:szCs w:val="22"/>
        </w:rPr>
        <w:t xml:space="preserve"> Wzrost odnotowano zarówno w wywozie do Unii Europejskiej, będącej głównym odbiorcą przetworów mięsnych z Polski (95% ogółu wolumenu eksportu tych produktów), jak i do krajów WNP (około 1% udziału) oraz pozostałych krajów trzecich (</w:t>
      </w:r>
      <w:r w:rsidR="00354C88">
        <w:rPr>
          <w:rFonts w:ascii="Verdana" w:hAnsi="Verdana" w:cs="Arial"/>
          <w:sz w:val="22"/>
          <w:szCs w:val="22"/>
        </w:rPr>
        <w:t xml:space="preserve">niecałe </w:t>
      </w:r>
      <w:r w:rsidRPr="007153F9">
        <w:rPr>
          <w:rFonts w:ascii="Verdana" w:hAnsi="Verdana" w:cs="Arial"/>
          <w:sz w:val="22"/>
          <w:szCs w:val="22"/>
        </w:rPr>
        <w:t xml:space="preserve">5% udziału). Do Unii wywieziono 191 tys. ton przetworów mięsnych (o 8% więcej niż przed rokiem) za 553 mln euro (również o 8% więcej). Przetwory mięsne </w:t>
      </w:r>
      <w:r w:rsidRPr="00934C99">
        <w:rPr>
          <w:rFonts w:ascii="Verdana" w:hAnsi="Verdana" w:cs="Arial"/>
          <w:spacing w:val="-4"/>
          <w:sz w:val="22"/>
          <w:szCs w:val="22"/>
        </w:rPr>
        <w:t xml:space="preserve">kierowano przede wszystkim do Wielkiej Brytanii (68 tys. ton) </w:t>
      </w:r>
      <w:r w:rsidR="00354C88">
        <w:rPr>
          <w:rFonts w:ascii="Verdana" w:hAnsi="Verdana" w:cs="Arial"/>
          <w:spacing w:val="-4"/>
          <w:sz w:val="22"/>
          <w:szCs w:val="22"/>
        </w:rPr>
        <w:br/>
      </w:r>
      <w:r w:rsidRPr="00934C99">
        <w:rPr>
          <w:rFonts w:ascii="Verdana" w:hAnsi="Verdana" w:cs="Arial"/>
          <w:spacing w:val="-4"/>
          <w:sz w:val="22"/>
          <w:szCs w:val="22"/>
        </w:rPr>
        <w:t>i Niemiec (19 tys. ton).</w:t>
      </w:r>
      <w:r w:rsidRPr="007153F9">
        <w:rPr>
          <w:rFonts w:ascii="Verdana" w:hAnsi="Verdana" w:cs="Arial"/>
          <w:sz w:val="22"/>
          <w:szCs w:val="22"/>
        </w:rPr>
        <w:t xml:space="preserve"> Eksport do krajów trzecich zwięk</w:t>
      </w:r>
      <w:r w:rsidR="001A32E8">
        <w:rPr>
          <w:rFonts w:ascii="Verdana" w:hAnsi="Verdana" w:cs="Arial"/>
          <w:sz w:val="22"/>
          <w:szCs w:val="22"/>
        </w:rPr>
        <w:t>szył się o 12%, do 9 tys. ton</w:t>
      </w:r>
      <w:r w:rsidRPr="007153F9">
        <w:rPr>
          <w:rFonts w:ascii="Verdana" w:hAnsi="Verdana" w:cs="Arial"/>
          <w:sz w:val="22"/>
          <w:szCs w:val="22"/>
        </w:rPr>
        <w:t xml:space="preserve">, a głównym odbiorcą były Stany Zjednoczone, które zaimportowały z Polski blisko 7 tys. ton przetworów mięsnych (o 13% więcej niż przed rokiem). Wywóz do WNP zwiększył się o 40%, do 1 tys. ton i 2 mln euro. </w:t>
      </w:r>
    </w:p>
    <w:p w:rsidR="00330EEF" w:rsidRPr="007153F9" w:rsidRDefault="00330EEF" w:rsidP="001F2156">
      <w:pPr>
        <w:spacing w:before="120" w:after="60"/>
        <w:jc w:val="both"/>
        <w:rPr>
          <w:rFonts w:ascii="Verdana" w:hAnsi="Verdana" w:cs="Arial"/>
          <w:b/>
          <w:bCs/>
          <w:sz w:val="22"/>
          <w:szCs w:val="22"/>
        </w:rPr>
      </w:pPr>
      <w:r w:rsidRPr="007153F9">
        <w:rPr>
          <w:rFonts w:ascii="Verdana" w:hAnsi="Verdana" w:cs="Arial"/>
          <w:b/>
          <w:bCs/>
          <w:sz w:val="22"/>
          <w:szCs w:val="22"/>
        </w:rPr>
        <w:t xml:space="preserve">Handel zagraniczny przetworami </w:t>
      </w:r>
      <w:r w:rsidRPr="007153F9">
        <w:rPr>
          <w:rFonts w:ascii="Verdana" w:hAnsi="Verdana" w:cs="Arial"/>
          <w:b/>
          <w:sz w:val="22"/>
          <w:szCs w:val="22"/>
        </w:rPr>
        <w:t xml:space="preserve">mięsnymi </w:t>
      </w:r>
    </w:p>
    <w:p w:rsidR="00330EEF" w:rsidRPr="004B294D" w:rsidRDefault="00330EEF" w:rsidP="00330EEF">
      <w:pPr>
        <w:spacing w:before="20"/>
        <w:jc w:val="both"/>
        <w:rPr>
          <w:rFonts w:ascii="Verdana" w:hAnsi="Verdana"/>
          <w:noProof/>
          <w:highlight w:val="yellow"/>
        </w:rPr>
      </w:pPr>
      <w:r>
        <w:rPr>
          <w:noProof/>
        </w:rPr>
        <w:drawing>
          <wp:inline distT="0" distB="0" distL="0" distR="0" wp14:anchorId="7025166C" wp14:editId="59DA1515">
            <wp:extent cx="5943600" cy="3753293"/>
            <wp:effectExtent l="0" t="0" r="19050" b="1905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30EEF" w:rsidRDefault="00330EEF" w:rsidP="000374EA">
      <w:pPr>
        <w:spacing w:before="40"/>
        <w:jc w:val="both"/>
        <w:rPr>
          <w:rFonts w:ascii="Verdana" w:hAnsi="Verdana" w:cs="Arial"/>
          <w:bCs/>
          <w:spacing w:val="-2"/>
          <w:sz w:val="20"/>
        </w:rPr>
      </w:pPr>
      <w:r w:rsidRPr="00E7448A">
        <w:rPr>
          <w:rFonts w:ascii="Verdana" w:hAnsi="Verdana" w:cs="Arial"/>
          <w:bCs/>
          <w:spacing w:val="-2"/>
          <w:sz w:val="20"/>
        </w:rPr>
        <w:t>Źródło:</w:t>
      </w:r>
      <w:r>
        <w:rPr>
          <w:rFonts w:ascii="Verdana" w:hAnsi="Verdana" w:cs="Arial"/>
          <w:bCs/>
          <w:spacing w:val="-2"/>
          <w:sz w:val="20"/>
        </w:rPr>
        <w:t xml:space="preserve"> </w:t>
      </w:r>
      <w:r w:rsidRPr="00F935D3">
        <w:rPr>
          <w:rFonts w:ascii="Verdana" w:hAnsi="Verdana" w:cs="Arial"/>
          <w:bCs/>
          <w:spacing w:val="-2"/>
          <w:sz w:val="20"/>
        </w:rPr>
        <w:t xml:space="preserve">opracowanie </w:t>
      </w:r>
      <w:r>
        <w:rPr>
          <w:rFonts w:ascii="Verdana" w:hAnsi="Verdana" w:cs="Arial"/>
          <w:bCs/>
          <w:spacing w:val="-2"/>
          <w:sz w:val="20"/>
        </w:rPr>
        <w:t>Biura Analiz i Strategii Krajowego Ośrodka Wsparcia Rolnictwa</w:t>
      </w:r>
      <w:r w:rsidRPr="00F935D3">
        <w:rPr>
          <w:rFonts w:ascii="Verdana" w:hAnsi="Verdana" w:cs="Arial"/>
          <w:bCs/>
          <w:spacing w:val="-2"/>
          <w:sz w:val="20"/>
        </w:rPr>
        <w:t xml:space="preserve"> na podstawie danych Ministerstwa Finansów i IERiGŻ – PIB, </w:t>
      </w:r>
      <w:r>
        <w:rPr>
          <w:rFonts w:ascii="Verdana" w:hAnsi="Verdana" w:cs="Arial"/>
          <w:bCs/>
          <w:spacing w:val="-2"/>
          <w:sz w:val="20"/>
        </w:rPr>
        <w:t xml:space="preserve">za I-VII </w:t>
      </w:r>
      <w:r w:rsidRPr="00F935D3">
        <w:rPr>
          <w:rFonts w:ascii="Verdana" w:hAnsi="Verdana" w:cs="Arial"/>
          <w:bCs/>
          <w:spacing w:val="-2"/>
          <w:sz w:val="20"/>
        </w:rPr>
        <w:t>201</w:t>
      </w:r>
      <w:r>
        <w:rPr>
          <w:rFonts w:ascii="Verdana" w:hAnsi="Verdana" w:cs="Arial"/>
          <w:bCs/>
          <w:spacing w:val="-2"/>
          <w:sz w:val="20"/>
        </w:rPr>
        <w:t>7</w:t>
      </w:r>
      <w:r w:rsidRPr="00F935D3">
        <w:rPr>
          <w:rFonts w:ascii="Verdana" w:hAnsi="Verdana" w:cs="Arial"/>
          <w:bCs/>
          <w:spacing w:val="-2"/>
          <w:sz w:val="20"/>
        </w:rPr>
        <w:t xml:space="preserve"> r. dane wstępne, </w:t>
      </w:r>
      <w:r>
        <w:rPr>
          <w:rFonts w:ascii="Verdana" w:hAnsi="Verdana" w:cs="Arial"/>
          <w:bCs/>
          <w:spacing w:val="-2"/>
          <w:sz w:val="20"/>
        </w:rPr>
        <w:t xml:space="preserve">za cały </w:t>
      </w:r>
      <w:r w:rsidRPr="00F935D3">
        <w:rPr>
          <w:rFonts w:ascii="Verdana" w:hAnsi="Verdana" w:cs="Arial"/>
          <w:bCs/>
          <w:spacing w:val="-2"/>
          <w:sz w:val="20"/>
        </w:rPr>
        <w:t xml:space="preserve">2017 r. </w:t>
      </w:r>
      <w:r>
        <w:rPr>
          <w:rFonts w:ascii="Verdana" w:hAnsi="Verdana" w:cs="Arial"/>
          <w:bCs/>
          <w:spacing w:val="-2"/>
          <w:sz w:val="20"/>
        </w:rPr>
        <w:t>szacunek</w:t>
      </w:r>
      <w:r w:rsidRPr="00F935D3">
        <w:rPr>
          <w:rFonts w:ascii="Verdana" w:hAnsi="Verdana" w:cs="Arial"/>
          <w:bCs/>
          <w:spacing w:val="-2"/>
          <w:sz w:val="20"/>
        </w:rPr>
        <w:t xml:space="preserve"> </w:t>
      </w:r>
      <w:r>
        <w:rPr>
          <w:rFonts w:ascii="Verdana" w:hAnsi="Verdana" w:cs="Arial"/>
          <w:bCs/>
          <w:spacing w:val="-2"/>
          <w:sz w:val="20"/>
        </w:rPr>
        <w:t>KOWR</w:t>
      </w:r>
      <w:r w:rsidRPr="00F935D3">
        <w:rPr>
          <w:rFonts w:ascii="Verdana" w:hAnsi="Verdana" w:cs="Arial"/>
          <w:bCs/>
          <w:spacing w:val="-2"/>
          <w:sz w:val="20"/>
        </w:rPr>
        <w:t>.</w:t>
      </w:r>
      <w:r>
        <w:rPr>
          <w:rFonts w:ascii="Verdana" w:hAnsi="Verdana" w:cs="Arial"/>
          <w:bCs/>
          <w:spacing w:val="-2"/>
          <w:sz w:val="20"/>
        </w:rPr>
        <w:t xml:space="preserve"> </w:t>
      </w:r>
      <w:r w:rsidRPr="00E7448A">
        <w:rPr>
          <w:rFonts w:ascii="Verdana" w:hAnsi="Verdana" w:cs="Arial"/>
          <w:bCs/>
          <w:spacing w:val="-2"/>
          <w:sz w:val="20"/>
        </w:rPr>
        <w:t>Wartość eksportu i importu przetworów mięsnych na 2017 r. obliczono wykorzystując dynamikę prognozowaną przez IERiGŻ – PIB dla grupy przetworów objętych prognozą IERiGŻ – PIB.</w:t>
      </w:r>
    </w:p>
    <w:p w:rsidR="00330EEF" w:rsidRPr="007153F9" w:rsidRDefault="00330EEF" w:rsidP="00330EEF">
      <w:pPr>
        <w:spacing w:before="240" w:line="360" w:lineRule="auto"/>
        <w:ind w:right="-17"/>
        <w:jc w:val="both"/>
        <w:rPr>
          <w:rFonts w:ascii="Verdana" w:hAnsi="Verdana" w:cs="Arial"/>
          <w:i/>
          <w:sz w:val="22"/>
          <w:szCs w:val="22"/>
        </w:rPr>
      </w:pPr>
      <w:r w:rsidRPr="007153F9">
        <w:rPr>
          <w:rFonts w:ascii="Verdana" w:hAnsi="Verdana" w:cs="Arial"/>
          <w:i/>
          <w:sz w:val="22"/>
          <w:szCs w:val="22"/>
        </w:rPr>
        <w:t>W 2017 r. wartość eksportu przetworów mięsnych może być o około 5–6% większa niż w 2016 r. Najbardziej (o 9%) wzrosną przychody z eksportu przetworów wołowych, wartość wywozu przetworów wieprzowych może być o 7</w:t>
      </w:r>
      <w:r w:rsidR="005B012A">
        <w:rPr>
          <w:rFonts w:ascii="Verdana" w:hAnsi="Verdana" w:cs="Arial"/>
          <w:i/>
          <w:sz w:val="22"/>
          <w:szCs w:val="22"/>
        </w:rPr>
        <w:t>–8</w:t>
      </w:r>
      <w:r w:rsidRPr="007153F9">
        <w:rPr>
          <w:rFonts w:ascii="Verdana" w:hAnsi="Verdana" w:cs="Arial"/>
          <w:i/>
          <w:sz w:val="22"/>
          <w:szCs w:val="22"/>
        </w:rPr>
        <w:t xml:space="preserve">% większa, </w:t>
      </w:r>
      <w:r w:rsidR="00520E97">
        <w:rPr>
          <w:rFonts w:ascii="Verdana" w:hAnsi="Verdana" w:cs="Arial"/>
          <w:i/>
          <w:sz w:val="22"/>
          <w:szCs w:val="22"/>
        </w:rPr>
        <w:br/>
      </w:r>
      <w:r w:rsidRPr="007153F9">
        <w:rPr>
          <w:rFonts w:ascii="Verdana" w:hAnsi="Verdana" w:cs="Arial"/>
          <w:i/>
          <w:sz w:val="22"/>
          <w:szCs w:val="22"/>
        </w:rPr>
        <w:t>a drobiowych – o około 1% mniejsza.</w:t>
      </w:r>
    </w:p>
    <w:p w:rsidR="00330EEF" w:rsidRPr="007153F9" w:rsidRDefault="00330EEF" w:rsidP="00330EEF">
      <w:pPr>
        <w:spacing w:line="360" w:lineRule="auto"/>
        <w:ind w:right="-17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 xml:space="preserve">Od 2011 r. </w:t>
      </w:r>
      <w:r w:rsidRPr="007153F9">
        <w:rPr>
          <w:rFonts w:ascii="Verdana" w:hAnsi="Verdana" w:cs="Arial"/>
          <w:b/>
          <w:sz w:val="22"/>
          <w:szCs w:val="22"/>
        </w:rPr>
        <w:t>eksport ziarna zbóż i przetworów zbożowych</w:t>
      </w:r>
      <w:r w:rsidRPr="007153F9">
        <w:rPr>
          <w:rFonts w:ascii="Verdana" w:hAnsi="Verdana" w:cs="Arial"/>
          <w:sz w:val="22"/>
          <w:szCs w:val="22"/>
        </w:rPr>
        <w:t xml:space="preserve"> z Polski systematycznie rośnie. W okresie siedmiu miesięcy 2017 r. z kraju wywieziono blisko 2,8 mln ton ziarna zbóż</w:t>
      </w:r>
      <w:r w:rsidRPr="007153F9">
        <w:rPr>
          <w:rStyle w:val="Odwoanieprzypisudolnego"/>
          <w:rFonts w:ascii="Verdana" w:hAnsi="Verdana" w:cs="Arial"/>
          <w:sz w:val="22"/>
          <w:szCs w:val="22"/>
        </w:rPr>
        <w:footnoteReference w:id="7"/>
      </w:r>
      <w:r w:rsidRPr="007153F9">
        <w:rPr>
          <w:rFonts w:ascii="Verdana" w:hAnsi="Verdana" w:cs="Arial"/>
          <w:sz w:val="22"/>
          <w:szCs w:val="22"/>
        </w:rPr>
        <w:t xml:space="preserve"> (o 16% mniej niż w analogicznym okresie rok wcześniej), uzyskując 492 mln euro (o 13% mniej niż w poprzednim roku). Eksportowano przede wszystkim pszenicę (62% wolumenu), kukurydzę (26%) oraz pszenżyto i żyto (po 4%). Polskie ziarno znajdowało nabywców przede wszystkim </w:t>
      </w:r>
      <w:r w:rsidR="00520E97">
        <w:rPr>
          <w:rFonts w:ascii="Verdana" w:hAnsi="Verdana" w:cs="Arial"/>
          <w:sz w:val="22"/>
          <w:szCs w:val="22"/>
        </w:rPr>
        <w:br/>
      </w:r>
      <w:r w:rsidR="00354C88">
        <w:rPr>
          <w:rFonts w:ascii="Verdana" w:hAnsi="Verdana" w:cs="Arial"/>
          <w:sz w:val="22"/>
          <w:szCs w:val="22"/>
        </w:rPr>
        <w:t>w krajach UE</w:t>
      </w:r>
      <w:r w:rsidRPr="007153F9">
        <w:rPr>
          <w:rFonts w:ascii="Verdana" w:hAnsi="Verdana" w:cs="Arial"/>
          <w:sz w:val="22"/>
          <w:szCs w:val="22"/>
        </w:rPr>
        <w:t>.</w:t>
      </w:r>
    </w:p>
    <w:p w:rsidR="00330EEF" w:rsidRPr="007153F9" w:rsidRDefault="00330EEF" w:rsidP="00520E97">
      <w:pPr>
        <w:spacing w:before="120" w:after="120"/>
        <w:jc w:val="both"/>
        <w:rPr>
          <w:rFonts w:ascii="Verdana" w:hAnsi="Verdana" w:cs="Arial"/>
          <w:b/>
          <w:bCs/>
          <w:sz w:val="22"/>
          <w:szCs w:val="22"/>
        </w:rPr>
      </w:pPr>
      <w:r w:rsidRPr="007153F9">
        <w:rPr>
          <w:rFonts w:ascii="Verdana" w:hAnsi="Verdana" w:cs="Arial"/>
          <w:b/>
          <w:bCs/>
          <w:sz w:val="22"/>
          <w:szCs w:val="22"/>
        </w:rPr>
        <w:t xml:space="preserve">Handel zagraniczny </w:t>
      </w:r>
      <w:r w:rsidRPr="007153F9">
        <w:rPr>
          <w:rFonts w:ascii="Verdana" w:hAnsi="Verdana" w:cs="Arial"/>
          <w:b/>
          <w:sz w:val="22"/>
          <w:szCs w:val="22"/>
        </w:rPr>
        <w:t xml:space="preserve">ziarnem </w:t>
      </w:r>
    </w:p>
    <w:p w:rsidR="00330EEF" w:rsidRPr="00F935D3" w:rsidRDefault="00330EEF" w:rsidP="00330EEF">
      <w:pPr>
        <w:spacing w:before="20"/>
        <w:jc w:val="both"/>
        <w:rPr>
          <w:rFonts w:ascii="Verdana" w:hAnsi="Verdana" w:cs="Arial"/>
          <w:bCs/>
          <w:spacing w:val="-2"/>
          <w:sz w:val="20"/>
        </w:rPr>
      </w:pPr>
      <w:r>
        <w:rPr>
          <w:noProof/>
        </w:rPr>
        <w:drawing>
          <wp:inline distT="0" distB="0" distL="0" distR="0" wp14:anchorId="69F4EF95" wp14:editId="74981B91">
            <wp:extent cx="5941060" cy="3827013"/>
            <wp:effectExtent l="0" t="0" r="21590" b="2159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30EEF" w:rsidRDefault="00330EEF" w:rsidP="00330EEF">
      <w:pPr>
        <w:spacing w:before="20"/>
        <w:jc w:val="both"/>
        <w:rPr>
          <w:rFonts w:ascii="Verdana" w:hAnsi="Verdana" w:cs="Arial"/>
          <w:bCs/>
          <w:spacing w:val="-2"/>
          <w:sz w:val="20"/>
        </w:rPr>
      </w:pPr>
      <w:r w:rsidRPr="00F935D3">
        <w:rPr>
          <w:rFonts w:ascii="Verdana" w:hAnsi="Verdana" w:cs="Arial"/>
          <w:bCs/>
          <w:spacing w:val="-2"/>
          <w:sz w:val="20"/>
        </w:rPr>
        <w:t xml:space="preserve">Źródło: </w:t>
      </w:r>
      <w:r w:rsidRPr="006908AF">
        <w:rPr>
          <w:rFonts w:ascii="Verdana" w:hAnsi="Verdana" w:cs="Arial"/>
          <w:bCs/>
          <w:spacing w:val="-2"/>
          <w:sz w:val="20"/>
        </w:rPr>
        <w:t xml:space="preserve">opracowanie Biura Analiz i Strategii Krajowego Ośrodka Wsparcia Rolnictwa na podstawie danych Ministerstwa Finansów i IERiGŻ – PIB, za I-VII 2017 r. dane wstępne, </w:t>
      </w:r>
      <w:r>
        <w:rPr>
          <w:rFonts w:ascii="Verdana" w:hAnsi="Verdana" w:cs="Arial"/>
          <w:bCs/>
          <w:spacing w:val="-2"/>
          <w:sz w:val="20"/>
        </w:rPr>
        <w:br/>
      </w:r>
      <w:r w:rsidRPr="006908AF">
        <w:rPr>
          <w:rFonts w:ascii="Verdana" w:hAnsi="Verdana" w:cs="Arial"/>
          <w:bCs/>
          <w:spacing w:val="-2"/>
          <w:sz w:val="20"/>
        </w:rPr>
        <w:t>za cały 2017 r. szacunek IERiGŻ – PIB.</w:t>
      </w:r>
    </w:p>
    <w:p w:rsidR="00330EEF" w:rsidRPr="00F935D3" w:rsidRDefault="00330EEF" w:rsidP="00330EEF">
      <w:pPr>
        <w:spacing w:before="20"/>
        <w:jc w:val="both"/>
        <w:rPr>
          <w:rFonts w:ascii="Verdana" w:hAnsi="Verdana" w:cs="Arial"/>
          <w:b/>
          <w:bCs/>
          <w:sz w:val="20"/>
        </w:rPr>
      </w:pPr>
    </w:p>
    <w:p w:rsidR="00330EEF" w:rsidRPr="007153F9" w:rsidRDefault="00330EEF" w:rsidP="00330EEF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 xml:space="preserve">Wywóz ziarna zbóż do UE wyniósł 1,56 mln ton, o 11% więcej, natomiast do krajów trzecich – 1,21 mln ton, o 36% mniej. W okresie siedmiu miesięcy 2017 r. najwięcej ziarna zbóż wyeksportowano do: Niemiec (34% wolumenu i 33% wartości). Ważnymi odbiorcami zboża z Polski były także: Arabia Saudyjska </w:t>
      </w:r>
      <w:r w:rsidRPr="00520E97">
        <w:rPr>
          <w:rFonts w:ascii="Verdana" w:hAnsi="Verdana" w:cs="Arial"/>
          <w:spacing w:val="-2"/>
          <w:sz w:val="22"/>
          <w:szCs w:val="22"/>
        </w:rPr>
        <w:t>(odpowiednio po 9%), Nigeria (po 7%), Hiszpania (po 6%) oraz Mozambik (po 5%).</w:t>
      </w:r>
      <w:r w:rsidRPr="007153F9">
        <w:rPr>
          <w:rFonts w:ascii="Verdana" w:hAnsi="Verdana" w:cs="Arial"/>
          <w:sz w:val="22"/>
          <w:szCs w:val="22"/>
        </w:rPr>
        <w:t xml:space="preserve"> </w:t>
      </w:r>
    </w:p>
    <w:p w:rsidR="00330EEF" w:rsidRPr="007153F9" w:rsidRDefault="00330EEF" w:rsidP="00330EEF">
      <w:pPr>
        <w:spacing w:line="360" w:lineRule="auto"/>
        <w:jc w:val="both"/>
        <w:rPr>
          <w:rFonts w:ascii="Verdana" w:hAnsi="Verdana" w:cs="Arial"/>
          <w:i/>
          <w:sz w:val="22"/>
          <w:szCs w:val="22"/>
        </w:rPr>
      </w:pPr>
      <w:r w:rsidRPr="007153F9">
        <w:rPr>
          <w:rFonts w:ascii="Verdana" w:hAnsi="Verdana" w:cs="Arial"/>
          <w:i/>
          <w:sz w:val="22"/>
          <w:szCs w:val="22"/>
        </w:rPr>
        <w:t xml:space="preserve">Po żniwach polskie ziarno prawdopodobnie chętniej będzie nabywane przez odbiorców zagranicznych z krajów trzecich. Duża konkurencja na rynkach zagranicznych, zwłaszcza ze strony Rosji i Ukrainy, może jednak ograniczać </w:t>
      </w:r>
      <w:r w:rsidR="00354C88">
        <w:rPr>
          <w:rFonts w:ascii="Verdana" w:hAnsi="Verdana" w:cs="Arial"/>
          <w:i/>
          <w:sz w:val="22"/>
          <w:szCs w:val="22"/>
        </w:rPr>
        <w:t xml:space="preserve">dynamikę </w:t>
      </w:r>
      <w:r w:rsidRPr="007153F9">
        <w:rPr>
          <w:rFonts w:ascii="Verdana" w:hAnsi="Verdana" w:cs="Arial"/>
          <w:i/>
          <w:sz w:val="22"/>
          <w:szCs w:val="22"/>
        </w:rPr>
        <w:t>eksport</w:t>
      </w:r>
      <w:r w:rsidR="00354C88">
        <w:rPr>
          <w:rFonts w:ascii="Verdana" w:hAnsi="Verdana" w:cs="Arial"/>
          <w:i/>
          <w:sz w:val="22"/>
          <w:szCs w:val="22"/>
        </w:rPr>
        <w:t>u</w:t>
      </w:r>
      <w:r w:rsidRPr="007153F9">
        <w:rPr>
          <w:rFonts w:ascii="Verdana" w:hAnsi="Verdana" w:cs="Arial"/>
          <w:i/>
          <w:sz w:val="22"/>
          <w:szCs w:val="22"/>
        </w:rPr>
        <w:t xml:space="preserve"> zbóż z Polski. </w:t>
      </w:r>
      <w:r w:rsidR="00354C88">
        <w:rPr>
          <w:rFonts w:ascii="Verdana" w:hAnsi="Verdana" w:cs="Arial"/>
          <w:i/>
          <w:sz w:val="22"/>
          <w:szCs w:val="22"/>
        </w:rPr>
        <w:t>W</w:t>
      </w:r>
      <w:r w:rsidR="003579B3">
        <w:rPr>
          <w:rFonts w:ascii="Verdana" w:hAnsi="Verdana" w:cs="Arial"/>
          <w:i/>
          <w:sz w:val="22"/>
          <w:szCs w:val="22"/>
        </w:rPr>
        <w:t xml:space="preserve"> 2017 r. wyniki </w:t>
      </w:r>
      <w:r w:rsidRPr="007153F9">
        <w:rPr>
          <w:rFonts w:ascii="Verdana" w:hAnsi="Verdana" w:cs="Arial"/>
          <w:i/>
          <w:sz w:val="22"/>
          <w:szCs w:val="22"/>
        </w:rPr>
        <w:t xml:space="preserve">handlu zagranicznego ziarnem zbóż mogą być nieco lepsze niż w 2016 r. </w:t>
      </w:r>
      <w:r w:rsidR="003579B3" w:rsidRPr="007153F9">
        <w:rPr>
          <w:rFonts w:ascii="Verdana" w:hAnsi="Verdana" w:cs="Arial"/>
          <w:i/>
          <w:sz w:val="22"/>
          <w:szCs w:val="22"/>
        </w:rPr>
        <w:t xml:space="preserve">Według prognozy IERiGŻ – PIB </w:t>
      </w:r>
      <w:r w:rsidR="003579B3">
        <w:rPr>
          <w:rFonts w:ascii="Verdana" w:hAnsi="Verdana" w:cs="Arial"/>
          <w:i/>
          <w:sz w:val="22"/>
          <w:szCs w:val="22"/>
        </w:rPr>
        <w:t>e</w:t>
      </w:r>
      <w:r w:rsidRPr="007153F9">
        <w:rPr>
          <w:rFonts w:ascii="Verdana" w:hAnsi="Verdana" w:cs="Arial"/>
          <w:i/>
          <w:sz w:val="22"/>
          <w:szCs w:val="22"/>
        </w:rPr>
        <w:t>ksport ziarna prognozowany jest na około 6,6 mln ton (wobec 6,</w:t>
      </w:r>
      <w:r w:rsidR="00354C88">
        <w:rPr>
          <w:rFonts w:ascii="Verdana" w:hAnsi="Verdana" w:cs="Arial"/>
          <w:i/>
          <w:sz w:val="22"/>
          <w:szCs w:val="22"/>
        </w:rPr>
        <w:t>5</w:t>
      </w:r>
      <w:r w:rsidRPr="007153F9">
        <w:rPr>
          <w:rFonts w:ascii="Verdana" w:hAnsi="Verdana" w:cs="Arial"/>
          <w:i/>
          <w:sz w:val="22"/>
          <w:szCs w:val="22"/>
        </w:rPr>
        <w:t xml:space="preserve"> mln ton w 2016 r.). Wartość eksportu ziarna zbóż w porównaniu z notowaną w 2016 r. prawdopodobnie wzrośnie o około 5%, do 1,15 mld euro.</w:t>
      </w:r>
    </w:p>
    <w:p w:rsidR="00330EEF" w:rsidRPr="007153F9" w:rsidRDefault="00330EEF" w:rsidP="00330EEF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b/>
          <w:sz w:val="22"/>
          <w:szCs w:val="22"/>
        </w:rPr>
        <w:t>Eksport przetworów zbożowo</w:t>
      </w:r>
      <w:r w:rsidR="005E3B59">
        <w:rPr>
          <w:rFonts w:ascii="Verdana" w:hAnsi="Verdana" w:cs="Arial"/>
          <w:b/>
          <w:sz w:val="22"/>
          <w:szCs w:val="22"/>
        </w:rPr>
        <w:t>–</w:t>
      </w:r>
      <w:r w:rsidRPr="007153F9">
        <w:rPr>
          <w:rFonts w:ascii="Verdana" w:hAnsi="Verdana" w:cs="Arial"/>
          <w:b/>
          <w:sz w:val="22"/>
          <w:szCs w:val="22"/>
        </w:rPr>
        <w:t>mącznych</w:t>
      </w:r>
      <w:r w:rsidRPr="007153F9">
        <w:rPr>
          <w:rStyle w:val="Odwoanieprzypisudolnego"/>
          <w:rFonts w:ascii="Verdana" w:hAnsi="Verdana" w:cs="Arial"/>
          <w:sz w:val="22"/>
          <w:szCs w:val="22"/>
        </w:rPr>
        <w:footnoteReference w:id="8"/>
      </w:r>
      <w:r w:rsidRPr="007153F9">
        <w:rPr>
          <w:rFonts w:ascii="Verdana" w:hAnsi="Verdana" w:cs="Arial"/>
          <w:sz w:val="22"/>
          <w:szCs w:val="22"/>
        </w:rPr>
        <w:t xml:space="preserve"> w okresie siedmiu miesięcy 2017 r. wyniósł ponad 0,7 mln ton i był o 9% większy niż tym samym okresie w 2016 r. </w:t>
      </w:r>
      <w:r w:rsidRPr="00F525DF">
        <w:rPr>
          <w:rFonts w:ascii="Verdana" w:hAnsi="Verdana" w:cs="Arial"/>
          <w:spacing w:val="-4"/>
          <w:sz w:val="22"/>
          <w:szCs w:val="22"/>
        </w:rPr>
        <w:t>Wartość eksportu tych przetworów wzrosła o 10% i osiągnęła poziom 1,37 mld euro.</w:t>
      </w:r>
      <w:r w:rsidRPr="007153F9">
        <w:rPr>
          <w:rFonts w:ascii="Verdana" w:hAnsi="Verdana" w:cs="Arial"/>
          <w:sz w:val="22"/>
          <w:szCs w:val="22"/>
        </w:rPr>
        <w:t xml:space="preserve"> Przetwory zbożowo</w:t>
      </w:r>
      <w:r w:rsidR="005E3B59"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 xml:space="preserve">mączne wywożone były głównie do UE (w latach </w:t>
      </w:r>
      <w:r w:rsidR="009701E6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>2013–2016 – około 80% wolumenu i 75–79% wartości). W okresie siedmiu miesięcy 2017 r. na rynek UE trafiło 547 tys. ton przetworów zbożowo</w:t>
      </w:r>
      <w:r w:rsidR="005E3B59"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>mącznych (wzrost o 13 tys. ton). Głównymi kierunkami eksportu przetworów zbożowo</w:t>
      </w:r>
      <w:r w:rsidR="005E3B59">
        <w:rPr>
          <w:rFonts w:ascii="Verdana" w:hAnsi="Verdana" w:cs="Arial"/>
          <w:sz w:val="22"/>
          <w:szCs w:val="22"/>
        </w:rPr>
        <w:t>–</w:t>
      </w:r>
      <w:r w:rsidR="005E3B59">
        <w:rPr>
          <w:rFonts w:ascii="Verdana" w:hAnsi="Verdana" w:cs="Arial"/>
          <w:sz w:val="22"/>
          <w:szCs w:val="22"/>
        </w:rPr>
        <w:br/>
        <w:t>–</w:t>
      </w:r>
      <w:r w:rsidRPr="007153F9">
        <w:rPr>
          <w:rFonts w:ascii="Verdana" w:hAnsi="Verdana" w:cs="Arial"/>
          <w:sz w:val="22"/>
          <w:szCs w:val="22"/>
        </w:rPr>
        <w:t xml:space="preserve">mącznych pozostały Niemcy (174 tys. ton), Wielka Brytania (61 tys. ton) i Czechy (42 tys. ton), a poza UE – Rosja (23 tys. ton). </w:t>
      </w:r>
    </w:p>
    <w:p w:rsidR="00330EEF" w:rsidRPr="007153F9" w:rsidRDefault="00330EEF" w:rsidP="00330EEF">
      <w:pPr>
        <w:spacing w:line="360" w:lineRule="auto"/>
        <w:jc w:val="both"/>
        <w:rPr>
          <w:rFonts w:ascii="Verdana" w:hAnsi="Verdana" w:cs="Arial"/>
          <w:i/>
          <w:sz w:val="22"/>
          <w:szCs w:val="22"/>
        </w:rPr>
      </w:pPr>
      <w:r w:rsidRPr="007153F9">
        <w:rPr>
          <w:rFonts w:ascii="Verdana" w:hAnsi="Verdana" w:cs="Arial"/>
          <w:i/>
          <w:sz w:val="22"/>
          <w:szCs w:val="22"/>
        </w:rPr>
        <w:t>W 2017 r. w eksporcie przetworów zbożowych możliwy jest dalszy, umiarkowany wzrost. Przewiduje się wzrost wartości eksportu mąk</w:t>
      </w:r>
      <w:r w:rsidR="00AC48A2">
        <w:rPr>
          <w:rFonts w:ascii="Verdana" w:hAnsi="Verdana" w:cs="Arial"/>
          <w:i/>
          <w:sz w:val="22"/>
          <w:szCs w:val="22"/>
        </w:rPr>
        <w:t>i</w:t>
      </w:r>
      <w:r w:rsidRPr="007153F9">
        <w:rPr>
          <w:rFonts w:ascii="Verdana" w:hAnsi="Verdana" w:cs="Arial"/>
          <w:i/>
          <w:sz w:val="22"/>
          <w:szCs w:val="22"/>
        </w:rPr>
        <w:t xml:space="preserve">, </w:t>
      </w:r>
      <w:r w:rsidR="00590908">
        <w:rPr>
          <w:rFonts w:ascii="Verdana" w:hAnsi="Verdana" w:cs="Arial"/>
          <w:i/>
          <w:sz w:val="22"/>
          <w:szCs w:val="22"/>
        </w:rPr>
        <w:t xml:space="preserve">słodu, </w:t>
      </w:r>
      <w:r w:rsidRPr="007153F9">
        <w:rPr>
          <w:rFonts w:ascii="Verdana" w:hAnsi="Verdana" w:cs="Arial"/>
          <w:i/>
          <w:sz w:val="22"/>
          <w:szCs w:val="22"/>
        </w:rPr>
        <w:t>ciasta makaronowego, produktów otrzymywanych przez spęcznienie i prażenie ziarna oraz pi</w:t>
      </w:r>
      <w:r w:rsidR="00590908">
        <w:rPr>
          <w:rFonts w:ascii="Verdana" w:hAnsi="Verdana" w:cs="Arial"/>
          <w:i/>
          <w:sz w:val="22"/>
          <w:szCs w:val="22"/>
        </w:rPr>
        <w:t>eczywa (łącznie z cukierniczym), a tylko niewielki spadek wartości eksportu</w:t>
      </w:r>
      <w:r w:rsidRPr="007153F9">
        <w:rPr>
          <w:rFonts w:ascii="Verdana" w:hAnsi="Verdana" w:cs="Arial"/>
          <w:i/>
          <w:sz w:val="22"/>
          <w:szCs w:val="22"/>
        </w:rPr>
        <w:t xml:space="preserve"> </w:t>
      </w:r>
      <w:r w:rsidR="00590908">
        <w:rPr>
          <w:rFonts w:ascii="Verdana" w:hAnsi="Verdana" w:cs="Arial"/>
          <w:i/>
          <w:sz w:val="22"/>
          <w:szCs w:val="22"/>
        </w:rPr>
        <w:t xml:space="preserve">kasz </w:t>
      </w:r>
      <w:r w:rsidR="00590908">
        <w:rPr>
          <w:rFonts w:ascii="Verdana" w:hAnsi="Verdana" w:cs="Arial"/>
          <w:i/>
          <w:sz w:val="22"/>
          <w:szCs w:val="22"/>
        </w:rPr>
        <w:br/>
        <w:t>i płatków oraz</w:t>
      </w:r>
      <w:r w:rsidR="00590908" w:rsidRPr="007153F9">
        <w:rPr>
          <w:rFonts w:ascii="Verdana" w:hAnsi="Verdana" w:cs="Arial"/>
          <w:i/>
          <w:sz w:val="22"/>
          <w:szCs w:val="22"/>
        </w:rPr>
        <w:t xml:space="preserve"> otrąb</w:t>
      </w:r>
      <w:r w:rsidR="00590908">
        <w:rPr>
          <w:rFonts w:ascii="Verdana" w:hAnsi="Verdana" w:cs="Arial"/>
          <w:i/>
          <w:sz w:val="22"/>
          <w:szCs w:val="22"/>
        </w:rPr>
        <w:t>.</w:t>
      </w:r>
      <w:r w:rsidR="00590908" w:rsidRPr="007153F9">
        <w:rPr>
          <w:rFonts w:ascii="Verdana" w:hAnsi="Verdana" w:cs="Arial"/>
          <w:i/>
          <w:sz w:val="22"/>
          <w:szCs w:val="22"/>
        </w:rPr>
        <w:t xml:space="preserve"> </w:t>
      </w:r>
      <w:r w:rsidR="009E60A8">
        <w:rPr>
          <w:rFonts w:ascii="Verdana" w:hAnsi="Verdana" w:cs="Arial"/>
          <w:i/>
          <w:sz w:val="22"/>
          <w:szCs w:val="22"/>
        </w:rPr>
        <w:t>W ocenie analityków Krajowego Ośrodka Wsparcia Rolnictwa w</w:t>
      </w:r>
      <w:r w:rsidRPr="007153F9">
        <w:rPr>
          <w:rFonts w:ascii="Verdana" w:hAnsi="Verdana" w:cs="Arial"/>
          <w:i/>
          <w:sz w:val="22"/>
          <w:szCs w:val="22"/>
        </w:rPr>
        <w:t xml:space="preserve">artość wywozu wyżej wymienionych produktów może być o 8% większa niż </w:t>
      </w:r>
      <w:r w:rsidR="00590908">
        <w:rPr>
          <w:rFonts w:ascii="Verdana" w:hAnsi="Verdana" w:cs="Arial"/>
          <w:i/>
          <w:sz w:val="22"/>
          <w:szCs w:val="22"/>
        </w:rPr>
        <w:br/>
      </w:r>
      <w:r w:rsidRPr="007153F9">
        <w:rPr>
          <w:rFonts w:ascii="Verdana" w:hAnsi="Verdana" w:cs="Arial"/>
          <w:i/>
          <w:sz w:val="22"/>
          <w:szCs w:val="22"/>
        </w:rPr>
        <w:t xml:space="preserve">w 2016 r. i wynieść około 2 mld euro. </w:t>
      </w:r>
    </w:p>
    <w:p w:rsidR="00330EEF" w:rsidRPr="007153F9" w:rsidRDefault="00330EEF" w:rsidP="00330EEF">
      <w:pPr>
        <w:spacing w:line="360" w:lineRule="auto"/>
        <w:jc w:val="both"/>
        <w:rPr>
          <w:rFonts w:ascii="Verdana" w:hAnsi="Verdana" w:cs="Arial"/>
          <w:i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 xml:space="preserve">W latach 2015–2016, na skutek głębokiej dekoniunktury na światowym rynku mleka, </w:t>
      </w:r>
      <w:r w:rsidRPr="007153F9">
        <w:rPr>
          <w:rFonts w:ascii="Verdana" w:hAnsi="Verdana" w:cs="Arial"/>
          <w:b/>
          <w:sz w:val="22"/>
          <w:szCs w:val="22"/>
        </w:rPr>
        <w:t>polska branża mleczarska</w:t>
      </w:r>
      <w:r w:rsidRPr="007153F9">
        <w:rPr>
          <w:rFonts w:ascii="Verdana" w:hAnsi="Verdana" w:cs="Arial"/>
          <w:sz w:val="22"/>
          <w:szCs w:val="22"/>
        </w:rPr>
        <w:t xml:space="preserve"> notowała pogorszenie wyników handlu zagranicznego. Jednak od początku 2017 r., wraz z ożywieniem globalnego popytu na produkty mleczarskie, rosną przychody polskich przetwórców z eksportu tego asortymentu. W okresie styczeń–lipiec 2017 r. wartość eksportu produktów mleczarskich z Polski ukształtowała się na poziomie 1,2 mld EUR, o 40% wyższym niż przed rokiem. Z</w:t>
      </w:r>
      <w:r w:rsidRPr="007153F9">
        <w:rPr>
          <w:rFonts w:ascii="Verdana" w:hAnsi="Verdana" w:cs="Arial"/>
          <w:color w:val="000000" w:themeColor="text1"/>
          <w:sz w:val="22"/>
          <w:szCs w:val="22"/>
        </w:rPr>
        <w:t>większył się wolumen wszystkich produktów, z wyjątkiem mleka płynnego i śmietany</w:t>
      </w:r>
      <w:r w:rsidR="000F69EA">
        <w:rPr>
          <w:rFonts w:ascii="Verdana" w:hAnsi="Verdana" w:cs="Arial"/>
          <w:color w:val="000000" w:themeColor="text1"/>
          <w:sz w:val="22"/>
          <w:szCs w:val="22"/>
        </w:rPr>
        <w:t xml:space="preserve">. </w:t>
      </w:r>
    </w:p>
    <w:p w:rsidR="00330EEF" w:rsidRPr="007153F9" w:rsidRDefault="00330EEF" w:rsidP="001F2156">
      <w:pPr>
        <w:spacing w:before="120" w:after="60"/>
        <w:jc w:val="both"/>
        <w:rPr>
          <w:rFonts w:ascii="Verdana" w:hAnsi="Verdana" w:cs="Arial"/>
          <w:b/>
          <w:bCs/>
          <w:sz w:val="22"/>
          <w:szCs w:val="22"/>
        </w:rPr>
      </w:pPr>
      <w:r w:rsidRPr="007153F9">
        <w:rPr>
          <w:rFonts w:ascii="Verdana" w:hAnsi="Verdana" w:cs="Arial"/>
          <w:b/>
          <w:bCs/>
          <w:sz w:val="22"/>
          <w:szCs w:val="22"/>
        </w:rPr>
        <w:t xml:space="preserve">Handel zagraniczny </w:t>
      </w:r>
      <w:r w:rsidRPr="007153F9">
        <w:rPr>
          <w:rFonts w:ascii="Verdana" w:hAnsi="Verdana" w:cs="Arial"/>
          <w:b/>
          <w:sz w:val="22"/>
          <w:szCs w:val="22"/>
        </w:rPr>
        <w:t>produktami mlecz</w:t>
      </w:r>
      <w:r w:rsidR="00856A33">
        <w:rPr>
          <w:rFonts w:ascii="Verdana" w:hAnsi="Verdana" w:cs="Arial"/>
          <w:b/>
          <w:sz w:val="22"/>
          <w:szCs w:val="22"/>
        </w:rPr>
        <w:t>arskimi</w:t>
      </w:r>
    </w:p>
    <w:p w:rsidR="00330EEF" w:rsidRPr="005F3FD7" w:rsidRDefault="00330EEF" w:rsidP="00330EEF">
      <w:pPr>
        <w:jc w:val="center"/>
        <w:rPr>
          <w:rFonts w:ascii="Verdana" w:hAnsi="Verdana" w:cs="Arial"/>
        </w:rPr>
      </w:pPr>
      <w:r w:rsidRPr="00D622A4">
        <w:rPr>
          <w:noProof/>
          <w:sz w:val="22"/>
          <w:szCs w:val="22"/>
        </w:rPr>
        <w:drawing>
          <wp:inline distT="0" distB="0" distL="0" distR="0" wp14:anchorId="0FA306AC" wp14:editId="7C43B31F">
            <wp:extent cx="6018028" cy="3285461"/>
            <wp:effectExtent l="0" t="0" r="20955" b="10795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30EEF" w:rsidRPr="00F935D3" w:rsidRDefault="00330EEF" w:rsidP="000840E1">
      <w:pPr>
        <w:spacing w:before="40"/>
        <w:jc w:val="both"/>
        <w:rPr>
          <w:rFonts w:ascii="Verdana" w:hAnsi="Verdana" w:cs="Arial"/>
          <w:b/>
          <w:bCs/>
          <w:sz w:val="20"/>
        </w:rPr>
      </w:pPr>
      <w:r w:rsidRPr="00F935D3">
        <w:rPr>
          <w:rFonts w:ascii="Verdana" w:hAnsi="Verdana" w:cs="Arial"/>
          <w:bCs/>
          <w:spacing w:val="-2"/>
          <w:sz w:val="20"/>
        </w:rPr>
        <w:t xml:space="preserve">Źródło: opracowanie </w:t>
      </w:r>
      <w:r>
        <w:rPr>
          <w:rFonts w:ascii="Verdana" w:hAnsi="Verdana" w:cs="Arial"/>
          <w:bCs/>
          <w:spacing w:val="-2"/>
          <w:sz w:val="20"/>
        </w:rPr>
        <w:t xml:space="preserve">Biura Analiz i Strategii Krajowego Ośrodka Wsparcia Rolnictwa </w:t>
      </w:r>
      <w:r w:rsidRPr="00F935D3">
        <w:rPr>
          <w:rFonts w:ascii="Verdana" w:hAnsi="Verdana" w:cs="Arial"/>
          <w:bCs/>
          <w:spacing w:val="-2"/>
          <w:sz w:val="20"/>
        </w:rPr>
        <w:t xml:space="preserve">na podstawie danych Ministerstwa Finansów i IERiGŻ – PIB, </w:t>
      </w:r>
      <w:r>
        <w:rPr>
          <w:rFonts w:ascii="Verdana" w:hAnsi="Verdana" w:cs="Arial"/>
          <w:bCs/>
          <w:spacing w:val="-2"/>
          <w:sz w:val="20"/>
        </w:rPr>
        <w:t>za I–VII 2017</w:t>
      </w:r>
      <w:r w:rsidRPr="00F935D3">
        <w:rPr>
          <w:rFonts w:ascii="Verdana" w:hAnsi="Verdana" w:cs="Arial"/>
          <w:bCs/>
          <w:spacing w:val="-2"/>
          <w:sz w:val="20"/>
        </w:rPr>
        <w:t xml:space="preserve"> r. dane wstępne, </w:t>
      </w:r>
      <w:r>
        <w:rPr>
          <w:rFonts w:ascii="Verdana" w:hAnsi="Verdana" w:cs="Arial"/>
          <w:bCs/>
          <w:spacing w:val="-2"/>
          <w:sz w:val="20"/>
        </w:rPr>
        <w:br/>
        <w:t xml:space="preserve">za cały </w:t>
      </w:r>
      <w:r w:rsidRPr="00F935D3">
        <w:rPr>
          <w:rFonts w:ascii="Verdana" w:hAnsi="Verdana" w:cs="Arial"/>
          <w:bCs/>
          <w:spacing w:val="-2"/>
          <w:sz w:val="20"/>
        </w:rPr>
        <w:t xml:space="preserve">2017 r. </w:t>
      </w:r>
      <w:r>
        <w:rPr>
          <w:rFonts w:ascii="Verdana" w:hAnsi="Verdana" w:cs="Arial"/>
          <w:bCs/>
          <w:spacing w:val="-2"/>
          <w:sz w:val="20"/>
        </w:rPr>
        <w:t>szacunek IERiGŻ </w:t>
      </w:r>
      <w:r w:rsidRPr="00F935D3">
        <w:rPr>
          <w:rFonts w:ascii="Verdana" w:hAnsi="Verdana" w:cs="Arial"/>
          <w:bCs/>
          <w:spacing w:val="-2"/>
          <w:sz w:val="20"/>
        </w:rPr>
        <w:t>–</w:t>
      </w:r>
      <w:r>
        <w:rPr>
          <w:rFonts w:ascii="Verdana" w:hAnsi="Verdana" w:cs="Arial"/>
          <w:bCs/>
          <w:spacing w:val="-2"/>
          <w:sz w:val="20"/>
        </w:rPr>
        <w:t> </w:t>
      </w:r>
      <w:r w:rsidRPr="00F935D3">
        <w:rPr>
          <w:rFonts w:ascii="Verdana" w:hAnsi="Verdana" w:cs="Arial"/>
          <w:bCs/>
          <w:spacing w:val="-2"/>
          <w:sz w:val="20"/>
        </w:rPr>
        <w:t>PIB</w:t>
      </w:r>
      <w:r w:rsidRPr="00F935D3">
        <w:rPr>
          <w:rFonts w:ascii="Verdana" w:hAnsi="Verdana" w:cs="Arial"/>
          <w:bCs/>
          <w:sz w:val="20"/>
        </w:rPr>
        <w:t>.</w:t>
      </w:r>
    </w:p>
    <w:p w:rsidR="00330EEF" w:rsidRPr="007153F9" w:rsidRDefault="00330EEF" w:rsidP="00330EEF">
      <w:pPr>
        <w:spacing w:before="240" w:line="360" w:lineRule="auto"/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7153F9">
        <w:rPr>
          <w:rFonts w:ascii="Verdana" w:hAnsi="Verdana" w:cs="Arial"/>
          <w:color w:val="000000" w:themeColor="text1"/>
          <w:sz w:val="22"/>
          <w:szCs w:val="22"/>
        </w:rPr>
        <w:t xml:space="preserve">Spośród eksportowanych produktów mleczarskich od lat największe przychody generują </w:t>
      </w:r>
      <w:r w:rsidRPr="007153F9">
        <w:rPr>
          <w:rFonts w:ascii="Verdana" w:hAnsi="Verdana" w:cs="Arial"/>
          <w:b/>
          <w:color w:val="000000" w:themeColor="text1"/>
          <w:sz w:val="22"/>
          <w:szCs w:val="22"/>
        </w:rPr>
        <w:t>sery i twarogi</w:t>
      </w:r>
      <w:r w:rsidRPr="007153F9">
        <w:rPr>
          <w:rFonts w:ascii="Verdana" w:hAnsi="Verdana" w:cs="Arial"/>
          <w:color w:val="000000" w:themeColor="text1"/>
          <w:sz w:val="22"/>
          <w:szCs w:val="22"/>
        </w:rPr>
        <w:t>. W okresie styczeń–lipiec 2017 r. wartość wywozu tej grupy asortymentowej osiągnęła poziom 421 mln euro, o 26% wyższy niż rok wcześniej. Jednocześnie wolumen wzrósł o 6%, do 142 tys. ton. N</w:t>
      </w:r>
      <w:r w:rsidRPr="007153F9">
        <w:rPr>
          <w:rFonts w:ascii="Verdana" w:hAnsi="Verdana" w:cs="Arial"/>
          <w:sz w:val="22"/>
          <w:szCs w:val="22"/>
        </w:rPr>
        <w:t xml:space="preserve">ajważniejszym rodzajem eksportowanych serów są </w:t>
      </w:r>
      <w:r w:rsidRPr="007153F9">
        <w:rPr>
          <w:rStyle w:val="Pogrubienie"/>
          <w:rFonts w:ascii="Verdana" w:hAnsi="Verdana" w:cs="Arial"/>
          <w:sz w:val="22"/>
          <w:szCs w:val="22"/>
        </w:rPr>
        <w:t xml:space="preserve">sery dojrzewające. </w:t>
      </w:r>
      <w:r w:rsidRPr="007153F9">
        <w:rPr>
          <w:rFonts w:ascii="Verdana" w:hAnsi="Verdana" w:cs="Arial"/>
          <w:color w:val="000000" w:themeColor="text1"/>
          <w:sz w:val="22"/>
          <w:szCs w:val="22"/>
        </w:rPr>
        <w:t>W analizowanym okresie z Polski wyeksportowano 86 tys. ton tych serów, o 5% więcej niż przed rokiem, podczas gdy wartość wywozu wzrosła o 23%, do 283 mln euro. Sery dojrzewające eksportowane były przede wszystkim do UE (67% wolumenu) – do Czech, Niemiec, na Słowację, do Włoch, na Węgry, do Danii, Holandii i Wielkiej Brytanii. Polskie sery dojrzewające znalazły nabywców również m.in. w: Arabii Saudyjskiej, Iraku, Izraelu, na Ukrainie oraz w Egipcie.</w:t>
      </w:r>
    </w:p>
    <w:p w:rsidR="00330EEF" w:rsidRPr="007153F9" w:rsidRDefault="00330EEF" w:rsidP="00330EEF">
      <w:pPr>
        <w:pStyle w:val="Standardowy2"/>
        <w:spacing w:line="360" w:lineRule="auto"/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7153F9">
        <w:rPr>
          <w:rFonts w:ascii="Verdana" w:hAnsi="Verdana" w:cs="Arial"/>
          <w:color w:val="000000" w:themeColor="text1"/>
          <w:sz w:val="22"/>
          <w:szCs w:val="22"/>
        </w:rPr>
        <w:t xml:space="preserve">Ograniczona globalna produkcja </w:t>
      </w:r>
      <w:r w:rsidRPr="007153F9">
        <w:rPr>
          <w:rFonts w:ascii="Verdana" w:hAnsi="Verdana" w:cs="Arial"/>
          <w:b/>
          <w:color w:val="000000" w:themeColor="text1"/>
          <w:sz w:val="22"/>
          <w:szCs w:val="22"/>
        </w:rPr>
        <w:t>masła</w:t>
      </w:r>
      <w:r w:rsidRPr="007153F9">
        <w:rPr>
          <w:rFonts w:ascii="Verdana" w:hAnsi="Verdana" w:cs="Arial"/>
          <w:color w:val="000000" w:themeColor="text1"/>
          <w:sz w:val="22"/>
          <w:szCs w:val="22"/>
        </w:rPr>
        <w:t xml:space="preserve"> i utrzymujący się zwiększony popyt na ten rodzaj tłuszczu wpływ</w:t>
      </w:r>
      <w:r w:rsidR="001C7CA3">
        <w:rPr>
          <w:rFonts w:ascii="Verdana" w:hAnsi="Verdana" w:cs="Arial"/>
          <w:color w:val="000000" w:themeColor="text1"/>
          <w:sz w:val="22"/>
          <w:szCs w:val="22"/>
        </w:rPr>
        <w:t>ją</w:t>
      </w:r>
      <w:r w:rsidRPr="007153F9">
        <w:rPr>
          <w:rFonts w:ascii="Verdana" w:hAnsi="Verdana" w:cs="Arial"/>
          <w:color w:val="000000" w:themeColor="text1"/>
          <w:sz w:val="22"/>
          <w:szCs w:val="22"/>
        </w:rPr>
        <w:t xml:space="preserve"> stymulująco na wzrost eksportu masła z Polski. W okresie styczeń–lipiec 2017 r. wywóz masła i tłuszczów mlecznych z kraju wyniósł </w:t>
      </w:r>
      <w:r w:rsidR="005448F8">
        <w:rPr>
          <w:rFonts w:ascii="Verdana" w:hAnsi="Verdana" w:cs="Arial"/>
          <w:color w:val="000000" w:themeColor="text1"/>
          <w:sz w:val="22"/>
          <w:szCs w:val="22"/>
        </w:rPr>
        <w:br/>
      </w:r>
      <w:r w:rsidRPr="007153F9">
        <w:rPr>
          <w:rFonts w:ascii="Verdana" w:hAnsi="Verdana" w:cs="Arial"/>
          <w:color w:val="000000" w:themeColor="text1"/>
          <w:sz w:val="22"/>
          <w:szCs w:val="22"/>
        </w:rPr>
        <w:t xml:space="preserve">31 tys. ton i był o 6% większy niż w porównywalnym okresie 2016 r. Jednocześnie wartość wywozu tego asortymentu była o 69% wyższa niż rok wcześniej </w:t>
      </w:r>
      <w:r w:rsidR="005448F8">
        <w:rPr>
          <w:rFonts w:ascii="Verdana" w:hAnsi="Verdana" w:cs="Arial"/>
          <w:color w:val="000000" w:themeColor="text1"/>
          <w:sz w:val="22"/>
          <w:szCs w:val="22"/>
        </w:rPr>
        <w:br/>
      </w:r>
      <w:r w:rsidRPr="007153F9">
        <w:rPr>
          <w:rFonts w:ascii="Verdana" w:hAnsi="Verdana" w:cs="Arial"/>
          <w:color w:val="000000" w:themeColor="text1"/>
          <w:sz w:val="22"/>
          <w:szCs w:val="22"/>
        </w:rPr>
        <w:t xml:space="preserve">i ukształtowała się na poziomie 131 mln euro. Masło eksportowano głównie </w:t>
      </w:r>
      <w:r w:rsidR="005448F8">
        <w:rPr>
          <w:rFonts w:ascii="Verdana" w:hAnsi="Verdana" w:cs="Arial"/>
          <w:color w:val="000000" w:themeColor="text1"/>
          <w:sz w:val="22"/>
          <w:szCs w:val="22"/>
        </w:rPr>
        <w:br/>
      </w:r>
      <w:r w:rsidRPr="007153F9">
        <w:rPr>
          <w:rFonts w:ascii="Verdana" w:hAnsi="Verdana" w:cs="Arial"/>
          <w:color w:val="000000" w:themeColor="text1"/>
          <w:sz w:val="22"/>
          <w:szCs w:val="22"/>
        </w:rPr>
        <w:t xml:space="preserve">do krajów członkowskich UE (91% wolumenu) m.in. do: Holandii, Niemiec, Czech, Słowacji, Francji, Rumunii, </w:t>
      </w:r>
      <w:r w:rsidR="00DA2778" w:rsidRPr="007153F9">
        <w:rPr>
          <w:rFonts w:ascii="Verdana" w:hAnsi="Verdana" w:cs="Arial"/>
          <w:color w:val="000000" w:themeColor="text1"/>
          <w:sz w:val="22"/>
          <w:szCs w:val="22"/>
        </w:rPr>
        <w:t>Belgii i</w:t>
      </w:r>
      <w:r w:rsidRPr="007153F9">
        <w:rPr>
          <w:rFonts w:ascii="Verdana" w:hAnsi="Verdana" w:cs="Arial"/>
          <w:color w:val="000000" w:themeColor="text1"/>
          <w:sz w:val="22"/>
          <w:szCs w:val="22"/>
        </w:rPr>
        <w:t xml:space="preserve"> Wielkiej Brytanii. Niewielkie ilości tego produktu wywieziono m.in.: do Serbii, na Kubę, do Izraela, Egiptu i Maroka.</w:t>
      </w:r>
    </w:p>
    <w:p w:rsidR="00330EEF" w:rsidRPr="009701E6" w:rsidRDefault="00330EEF" w:rsidP="00330EEF">
      <w:pPr>
        <w:spacing w:line="360" w:lineRule="auto"/>
        <w:jc w:val="both"/>
        <w:rPr>
          <w:rFonts w:ascii="Verdana" w:eastAsiaTheme="minorHAnsi" w:hAnsi="Verdana" w:cs="Arial"/>
          <w:color w:val="000000" w:themeColor="text1"/>
          <w:spacing w:val="-2"/>
          <w:sz w:val="22"/>
          <w:szCs w:val="22"/>
          <w:lang w:eastAsia="en-US"/>
        </w:rPr>
      </w:pPr>
      <w:r w:rsidRPr="007153F9">
        <w:rPr>
          <w:rFonts w:ascii="Verdana" w:eastAsiaTheme="minorHAnsi" w:hAnsi="Verdana" w:cs="Arial"/>
          <w:color w:val="000000" w:themeColor="text1"/>
          <w:sz w:val="22"/>
          <w:szCs w:val="22"/>
          <w:lang w:eastAsia="en-US"/>
        </w:rPr>
        <w:t xml:space="preserve">Polska branża mleczarska jest znaczącym w UE producentem </w:t>
      </w:r>
      <w:r w:rsidRPr="007153F9">
        <w:rPr>
          <w:rFonts w:ascii="Verdana" w:eastAsiaTheme="minorHAnsi" w:hAnsi="Verdana" w:cs="Arial"/>
          <w:b/>
          <w:color w:val="000000" w:themeColor="text1"/>
          <w:sz w:val="22"/>
          <w:szCs w:val="22"/>
          <w:lang w:eastAsia="en-US"/>
        </w:rPr>
        <w:t xml:space="preserve">jogurtów i napojów </w:t>
      </w:r>
      <w:r w:rsidR="00856A33">
        <w:rPr>
          <w:rFonts w:ascii="Verdana" w:eastAsiaTheme="minorHAnsi" w:hAnsi="Verdana" w:cs="Arial"/>
          <w:b/>
          <w:color w:val="000000" w:themeColor="text1"/>
          <w:sz w:val="22"/>
          <w:szCs w:val="22"/>
          <w:lang w:eastAsia="en-US"/>
        </w:rPr>
        <w:t>fermentowanych</w:t>
      </w:r>
      <w:r w:rsidRPr="007153F9">
        <w:rPr>
          <w:rFonts w:ascii="Verdana" w:eastAsiaTheme="minorHAnsi" w:hAnsi="Verdana" w:cs="Arial"/>
          <w:color w:val="000000" w:themeColor="text1"/>
          <w:sz w:val="22"/>
          <w:szCs w:val="22"/>
          <w:lang w:eastAsia="en-US"/>
        </w:rPr>
        <w:t>. Poza obszar naszego kraju wywozi się jednak średnio 15% rodzimej produkcji</w:t>
      </w:r>
      <w:r w:rsidR="001B71DA">
        <w:rPr>
          <w:rFonts w:ascii="Verdana" w:eastAsiaTheme="minorHAnsi" w:hAnsi="Verdana" w:cs="Arial"/>
          <w:color w:val="000000" w:themeColor="text1"/>
          <w:sz w:val="22"/>
          <w:szCs w:val="22"/>
          <w:lang w:eastAsia="en-US"/>
        </w:rPr>
        <w:t xml:space="preserve"> </w:t>
      </w:r>
      <w:r w:rsidR="00856A33">
        <w:rPr>
          <w:rFonts w:ascii="Verdana" w:eastAsiaTheme="minorHAnsi" w:hAnsi="Verdana" w:cs="Arial"/>
          <w:color w:val="000000" w:themeColor="text1"/>
          <w:sz w:val="22"/>
          <w:szCs w:val="22"/>
          <w:lang w:eastAsia="en-US"/>
        </w:rPr>
        <w:t xml:space="preserve">tych </w:t>
      </w:r>
      <w:r w:rsidR="001B71DA">
        <w:rPr>
          <w:rFonts w:ascii="Verdana" w:eastAsiaTheme="minorHAnsi" w:hAnsi="Verdana" w:cs="Arial"/>
          <w:color w:val="000000" w:themeColor="text1"/>
          <w:sz w:val="22"/>
          <w:szCs w:val="22"/>
          <w:lang w:eastAsia="en-US"/>
        </w:rPr>
        <w:t>napojów</w:t>
      </w:r>
      <w:r w:rsidRPr="007153F9">
        <w:rPr>
          <w:rFonts w:ascii="Verdana" w:eastAsiaTheme="minorHAnsi" w:hAnsi="Verdana" w:cs="Arial"/>
          <w:color w:val="000000" w:themeColor="text1"/>
          <w:sz w:val="22"/>
          <w:szCs w:val="22"/>
          <w:lang w:eastAsia="en-US"/>
        </w:rPr>
        <w:t xml:space="preserve">. W okresie siedmiu miesięcy 2017 r. z </w:t>
      </w:r>
      <w:r w:rsidR="00856A33">
        <w:rPr>
          <w:rFonts w:ascii="Verdana" w:eastAsiaTheme="minorHAnsi" w:hAnsi="Verdana" w:cs="Arial"/>
          <w:color w:val="000000" w:themeColor="text1"/>
          <w:sz w:val="22"/>
          <w:szCs w:val="22"/>
          <w:lang w:eastAsia="en-US"/>
        </w:rPr>
        <w:t>Polski</w:t>
      </w:r>
      <w:r w:rsidRPr="007153F9">
        <w:rPr>
          <w:rFonts w:ascii="Verdana" w:eastAsiaTheme="minorHAnsi" w:hAnsi="Verdana" w:cs="Arial"/>
          <w:color w:val="000000" w:themeColor="text1"/>
          <w:sz w:val="22"/>
          <w:szCs w:val="22"/>
          <w:lang w:eastAsia="en-US"/>
        </w:rPr>
        <w:t xml:space="preserve"> wywieziono</w:t>
      </w:r>
      <w:r w:rsidR="001B71DA">
        <w:rPr>
          <w:rFonts w:ascii="Verdana" w:eastAsiaTheme="minorHAnsi" w:hAnsi="Verdana" w:cs="Arial"/>
          <w:color w:val="000000" w:themeColor="text1"/>
          <w:sz w:val="22"/>
          <w:szCs w:val="22"/>
          <w:lang w:eastAsia="en-US"/>
        </w:rPr>
        <w:t xml:space="preserve"> </w:t>
      </w:r>
      <w:r w:rsidRPr="007153F9">
        <w:rPr>
          <w:rFonts w:ascii="Verdana" w:eastAsiaTheme="minorHAnsi" w:hAnsi="Verdana" w:cs="Arial"/>
          <w:color w:val="000000" w:themeColor="text1"/>
          <w:sz w:val="22"/>
          <w:szCs w:val="22"/>
          <w:lang w:eastAsia="en-US"/>
        </w:rPr>
        <w:t xml:space="preserve">59 tys. ton produktów z tej grupy asortymentowej, o 8% więcej niż rok wcześniej. W tym czasie wartość wywozu wzrosła o 18%, </w:t>
      </w:r>
      <w:r w:rsidR="00DA2778" w:rsidRPr="007153F9">
        <w:rPr>
          <w:rFonts w:ascii="Verdana" w:eastAsiaTheme="minorHAnsi" w:hAnsi="Verdana" w:cs="Arial"/>
          <w:color w:val="000000" w:themeColor="text1"/>
          <w:sz w:val="22"/>
          <w:szCs w:val="22"/>
          <w:lang w:eastAsia="en-US"/>
        </w:rPr>
        <w:t xml:space="preserve">do </w:t>
      </w:r>
      <w:r w:rsidRPr="007153F9">
        <w:rPr>
          <w:rFonts w:ascii="Verdana" w:eastAsiaTheme="minorHAnsi" w:hAnsi="Verdana" w:cs="Arial"/>
          <w:color w:val="000000" w:themeColor="text1"/>
          <w:sz w:val="22"/>
          <w:szCs w:val="22"/>
          <w:lang w:eastAsia="en-US"/>
        </w:rPr>
        <w:t xml:space="preserve">71 mln </w:t>
      </w:r>
      <w:r w:rsidRPr="007153F9">
        <w:rPr>
          <w:rFonts w:ascii="Verdana" w:hAnsi="Verdana" w:cs="Arial"/>
          <w:color w:val="000000" w:themeColor="text1"/>
          <w:sz w:val="22"/>
          <w:szCs w:val="22"/>
        </w:rPr>
        <w:t>euro</w:t>
      </w:r>
      <w:r w:rsidRPr="007153F9">
        <w:rPr>
          <w:rFonts w:ascii="Verdana" w:eastAsiaTheme="minorHAnsi" w:hAnsi="Verdana" w:cs="Arial"/>
          <w:color w:val="000000" w:themeColor="text1"/>
          <w:sz w:val="22"/>
          <w:szCs w:val="22"/>
          <w:lang w:eastAsia="en-US"/>
        </w:rPr>
        <w:t>. Polskie jogurty</w:t>
      </w:r>
      <w:r w:rsidR="001B71DA">
        <w:rPr>
          <w:rFonts w:ascii="Verdana" w:eastAsiaTheme="minorHAnsi" w:hAnsi="Verdana" w:cs="Arial"/>
          <w:color w:val="000000" w:themeColor="text1"/>
          <w:sz w:val="22"/>
          <w:szCs w:val="22"/>
          <w:lang w:eastAsia="en-US"/>
        </w:rPr>
        <w:t xml:space="preserve"> </w:t>
      </w:r>
      <w:r w:rsidRPr="007153F9">
        <w:rPr>
          <w:rFonts w:ascii="Verdana" w:eastAsiaTheme="minorHAnsi" w:hAnsi="Verdana" w:cs="Arial"/>
          <w:color w:val="000000" w:themeColor="text1"/>
          <w:sz w:val="22"/>
          <w:szCs w:val="22"/>
          <w:lang w:eastAsia="en-US"/>
        </w:rPr>
        <w:t xml:space="preserve">i </w:t>
      </w:r>
      <w:r w:rsidRPr="009701E6">
        <w:rPr>
          <w:rFonts w:ascii="Verdana" w:eastAsiaTheme="minorHAnsi" w:hAnsi="Verdana" w:cs="Arial"/>
          <w:color w:val="000000" w:themeColor="text1"/>
          <w:spacing w:val="-2"/>
          <w:sz w:val="22"/>
          <w:szCs w:val="22"/>
          <w:lang w:eastAsia="en-US"/>
        </w:rPr>
        <w:t xml:space="preserve">napoje </w:t>
      </w:r>
      <w:r w:rsidR="00856A33">
        <w:rPr>
          <w:rFonts w:ascii="Verdana" w:eastAsiaTheme="minorHAnsi" w:hAnsi="Verdana" w:cs="Arial"/>
          <w:color w:val="000000" w:themeColor="text1"/>
          <w:spacing w:val="-2"/>
          <w:sz w:val="22"/>
          <w:szCs w:val="22"/>
          <w:lang w:eastAsia="en-US"/>
        </w:rPr>
        <w:t>fermentowane</w:t>
      </w:r>
      <w:r w:rsidRPr="009701E6">
        <w:rPr>
          <w:rFonts w:ascii="Verdana" w:eastAsiaTheme="minorHAnsi" w:hAnsi="Verdana" w:cs="Arial"/>
          <w:color w:val="000000" w:themeColor="text1"/>
          <w:spacing w:val="-2"/>
          <w:sz w:val="22"/>
          <w:szCs w:val="22"/>
          <w:lang w:eastAsia="en-US"/>
        </w:rPr>
        <w:t xml:space="preserve"> nabywców znajdują przede wszystkim w UE (94% wolumenu wywozu). </w:t>
      </w:r>
      <w:r w:rsidRPr="009701E6">
        <w:rPr>
          <w:rFonts w:ascii="Verdana" w:hAnsi="Verdana" w:cs="Arial"/>
          <w:color w:val="000000" w:themeColor="text1"/>
          <w:spacing w:val="-2"/>
          <w:sz w:val="22"/>
          <w:szCs w:val="22"/>
        </w:rPr>
        <w:t>Najważniejszym odbiorcą tego asortymentu była Wielka Brytania (16% udział w wolumenie wywozu z Polski) oraz Czechy, Węgry i Rumunia (po 10% udziału).</w:t>
      </w:r>
    </w:p>
    <w:p w:rsidR="00330EEF" w:rsidRPr="007153F9" w:rsidRDefault="00330EEF" w:rsidP="00330EEF">
      <w:pPr>
        <w:spacing w:line="360" w:lineRule="auto"/>
        <w:jc w:val="both"/>
        <w:rPr>
          <w:rFonts w:ascii="Verdana" w:hAnsi="Verdana" w:cs="Arial"/>
          <w:color w:val="000000" w:themeColor="text1"/>
          <w:spacing w:val="-4"/>
          <w:sz w:val="22"/>
          <w:szCs w:val="22"/>
        </w:rPr>
      </w:pPr>
      <w:r w:rsidRPr="007153F9">
        <w:rPr>
          <w:rFonts w:ascii="Verdana" w:hAnsi="Verdana" w:cs="Arial"/>
          <w:color w:val="000000" w:themeColor="text1"/>
          <w:spacing w:val="-4"/>
          <w:sz w:val="22"/>
          <w:szCs w:val="22"/>
        </w:rPr>
        <w:t xml:space="preserve">Ożywienie globalnego popytu na </w:t>
      </w:r>
      <w:r w:rsidRPr="007153F9">
        <w:rPr>
          <w:rFonts w:ascii="Verdana" w:hAnsi="Verdana" w:cs="Arial"/>
          <w:b/>
          <w:color w:val="000000" w:themeColor="text1"/>
          <w:spacing w:val="-4"/>
          <w:sz w:val="22"/>
          <w:szCs w:val="22"/>
        </w:rPr>
        <w:t>mleko w proszku</w:t>
      </w:r>
      <w:r w:rsidRPr="007153F9">
        <w:rPr>
          <w:rFonts w:ascii="Verdana" w:hAnsi="Verdana" w:cs="Arial"/>
          <w:color w:val="000000" w:themeColor="text1"/>
          <w:spacing w:val="-4"/>
          <w:sz w:val="22"/>
          <w:szCs w:val="22"/>
        </w:rPr>
        <w:t xml:space="preserve"> wpływa stymulująco na jego wywóz z Polski. W okresie styczeń–lipiec 2017 r. ogółem wyeksportowano 84 tys. ton tego asortymentu, o 22% więcej niż rok wcześniej, a wartość wywozu wzrosła o 51%, do 178 mln euro. </w:t>
      </w:r>
      <w:r w:rsidRPr="007153F9">
        <w:rPr>
          <w:rFonts w:ascii="Verdana" w:hAnsi="Verdana" w:cs="Arial"/>
          <w:spacing w:val="-4"/>
          <w:sz w:val="22"/>
          <w:szCs w:val="22"/>
        </w:rPr>
        <w:t>Tradycyjnie przedmiotem eksportu było przede wszystkim odtłuszczone mleko w proszku (około 70% udziału wywozie mleka w proszku ogółem). Przy wzroście cen transakcyjnych (średnio o 12%),</w:t>
      </w:r>
      <w:r w:rsidRPr="007153F9">
        <w:rPr>
          <w:rFonts w:ascii="Verdana" w:hAnsi="Verdana" w:cs="Arial"/>
          <w:color w:val="000000" w:themeColor="text1"/>
          <w:spacing w:val="-4"/>
          <w:sz w:val="22"/>
          <w:szCs w:val="22"/>
        </w:rPr>
        <w:t xml:space="preserve"> wywóz </w:t>
      </w:r>
      <w:r w:rsidR="001B71DA">
        <w:rPr>
          <w:rFonts w:ascii="Verdana" w:hAnsi="Verdana" w:cs="Arial"/>
          <w:color w:val="000000" w:themeColor="text1"/>
          <w:spacing w:val="-4"/>
          <w:sz w:val="22"/>
          <w:szCs w:val="22"/>
        </w:rPr>
        <w:t>OMP</w:t>
      </w:r>
      <w:r w:rsidRPr="007153F9">
        <w:rPr>
          <w:rFonts w:ascii="Verdana" w:hAnsi="Verdana" w:cs="Arial"/>
          <w:color w:val="000000" w:themeColor="text1"/>
          <w:spacing w:val="-4"/>
          <w:sz w:val="22"/>
          <w:szCs w:val="22"/>
        </w:rPr>
        <w:t xml:space="preserve"> osiągnął poziom </w:t>
      </w:r>
      <w:r w:rsidR="001B71DA">
        <w:rPr>
          <w:rFonts w:ascii="Verdana" w:hAnsi="Verdana" w:cs="Arial"/>
          <w:color w:val="000000" w:themeColor="text1"/>
          <w:spacing w:val="-4"/>
          <w:sz w:val="22"/>
          <w:szCs w:val="22"/>
        </w:rPr>
        <w:br/>
      </w:r>
      <w:r w:rsidRPr="007153F9">
        <w:rPr>
          <w:rFonts w:ascii="Verdana" w:hAnsi="Verdana" w:cs="Arial"/>
          <w:color w:val="000000" w:themeColor="text1"/>
          <w:spacing w:val="-4"/>
          <w:sz w:val="22"/>
          <w:szCs w:val="22"/>
        </w:rPr>
        <w:t>62 tys. ton, o 21% wyższy niż w okresie pierwszych siedmiu miesięcy 2016 r. OMP znajduje nabywców przede wszystkim w krajach pozaunijnych (77% całego wolumenu), m.in. w: Algierii (41%), Wietnamie (12%), Chinach</w:t>
      </w:r>
      <w:r w:rsidR="009701E6">
        <w:rPr>
          <w:rFonts w:ascii="Verdana" w:hAnsi="Verdana" w:cs="Arial"/>
          <w:color w:val="000000" w:themeColor="text1"/>
          <w:spacing w:val="-4"/>
          <w:sz w:val="22"/>
          <w:szCs w:val="22"/>
        </w:rPr>
        <w:t xml:space="preserve"> i</w:t>
      </w:r>
      <w:r w:rsidRPr="007153F9">
        <w:rPr>
          <w:rFonts w:ascii="Verdana" w:hAnsi="Verdana" w:cs="Arial"/>
          <w:color w:val="000000" w:themeColor="text1"/>
          <w:spacing w:val="-4"/>
          <w:sz w:val="22"/>
          <w:szCs w:val="22"/>
        </w:rPr>
        <w:t xml:space="preserve"> na Filipinach </w:t>
      </w:r>
      <w:r w:rsidR="009701E6">
        <w:rPr>
          <w:rFonts w:ascii="Verdana" w:hAnsi="Verdana" w:cs="Arial"/>
          <w:color w:val="000000" w:themeColor="text1"/>
          <w:spacing w:val="-4"/>
          <w:sz w:val="22"/>
          <w:szCs w:val="22"/>
        </w:rPr>
        <w:br/>
      </w:r>
      <w:r w:rsidRPr="007153F9">
        <w:rPr>
          <w:rFonts w:ascii="Verdana" w:hAnsi="Verdana" w:cs="Arial"/>
          <w:color w:val="000000" w:themeColor="text1"/>
          <w:spacing w:val="-4"/>
          <w:sz w:val="22"/>
          <w:szCs w:val="22"/>
        </w:rPr>
        <w:t>(po 4%), w Meksyku (3%), na Kubie, w Ghanie oraz Bangladeszu (po 2%).</w:t>
      </w:r>
    </w:p>
    <w:p w:rsidR="00330EEF" w:rsidRPr="007153F9" w:rsidRDefault="00330EEF" w:rsidP="009F2D0E">
      <w:pPr>
        <w:spacing w:before="120" w:line="360" w:lineRule="auto"/>
        <w:jc w:val="both"/>
        <w:rPr>
          <w:rFonts w:ascii="Verdana" w:eastAsiaTheme="minorHAnsi" w:hAnsi="Verdana" w:cs="Arial"/>
          <w:i/>
          <w:color w:val="000000" w:themeColor="text1"/>
          <w:sz w:val="22"/>
          <w:szCs w:val="22"/>
          <w:lang w:eastAsia="en-US"/>
        </w:rPr>
      </w:pPr>
      <w:r w:rsidRPr="007153F9">
        <w:rPr>
          <w:rFonts w:ascii="Verdana" w:eastAsiaTheme="minorHAnsi" w:hAnsi="Verdana" w:cs="Arial"/>
          <w:i/>
          <w:color w:val="000000" w:themeColor="text1"/>
          <w:sz w:val="22"/>
          <w:szCs w:val="22"/>
          <w:lang w:eastAsia="en-US"/>
        </w:rPr>
        <w:t xml:space="preserve">Przewidywany w Polsce w 2017 r. dalszy wzrost towarowej produkcji mleka będzie wpływał stymulująco na wzrost produkcji artykułów mleczarskich. </w:t>
      </w:r>
      <w:r w:rsidRPr="007153F9">
        <w:rPr>
          <w:rFonts w:ascii="Verdana" w:hAnsi="Verdana" w:cs="Arial"/>
          <w:i/>
          <w:sz w:val="22"/>
          <w:szCs w:val="22"/>
        </w:rPr>
        <w:t>IERiGŻ – PIB szacuje</w:t>
      </w:r>
      <w:r w:rsidRPr="007153F9">
        <w:rPr>
          <w:rFonts w:ascii="Verdana" w:eastAsiaTheme="minorHAnsi" w:hAnsi="Verdana" w:cs="Arial"/>
          <w:i/>
          <w:color w:val="000000" w:themeColor="text1"/>
          <w:sz w:val="22"/>
          <w:szCs w:val="22"/>
          <w:lang w:eastAsia="en-US"/>
        </w:rPr>
        <w:t xml:space="preserve">, że w całym 2017 r., o ile koniunktura na światowym rynku mleka </w:t>
      </w:r>
      <w:r w:rsidR="009701E6">
        <w:rPr>
          <w:rFonts w:ascii="Verdana" w:eastAsiaTheme="minorHAnsi" w:hAnsi="Verdana" w:cs="Arial"/>
          <w:i/>
          <w:color w:val="000000" w:themeColor="text1"/>
          <w:sz w:val="22"/>
          <w:szCs w:val="22"/>
          <w:lang w:eastAsia="en-US"/>
        </w:rPr>
        <w:br/>
      </w:r>
      <w:r w:rsidRPr="007153F9">
        <w:rPr>
          <w:rFonts w:ascii="Verdana" w:eastAsiaTheme="minorHAnsi" w:hAnsi="Verdana" w:cs="Arial"/>
          <w:i/>
          <w:color w:val="000000" w:themeColor="text1"/>
          <w:sz w:val="22"/>
          <w:szCs w:val="22"/>
          <w:lang w:eastAsia="en-US"/>
        </w:rPr>
        <w:t>w końcu br. nie ulegnie pogorszeniu,</w:t>
      </w:r>
      <w:r w:rsidRPr="007153F9">
        <w:rPr>
          <w:rFonts w:ascii="Verdana" w:hAnsi="Verdana" w:cs="Arial"/>
          <w:i/>
          <w:sz w:val="22"/>
          <w:szCs w:val="22"/>
        </w:rPr>
        <w:t xml:space="preserve"> eksport produktów mleczarskich wyrażony </w:t>
      </w:r>
      <w:r w:rsidR="009701E6">
        <w:rPr>
          <w:rFonts w:ascii="Verdana" w:hAnsi="Verdana" w:cs="Arial"/>
          <w:i/>
          <w:sz w:val="22"/>
          <w:szCs w:val="22"/>
        </w:rPr>
        <w:br/>
      </w:r>
      <w:r w:rsidRPr="007153F9">
        <w:rPr>
          <w:rFonts w:ascii="Verdana" w:hAnsi="Verdana" w:cs="Arial"/>
          <w:i/>
          <w:sz w:val="22"/>
          <w:szCs w:val="22"/>
        </w:rPr>
        <w:t xml:space="preserve">w ekwiwalencie mleka surowego może być o 8% większy niż w 2016 r. i wynieść 4,2 mln ton. Wpływy z wywozu prawdopodobnie osiągną wysoki poziom ponad </w:t>
      </w:r>
      <w:r w:rsidR="001B71DA">
        <w:rPr>
          <w:rFonts w:ascii="Verdana" w:hAnsi="Verdana" w:cs="Arial"/>
          <w:i/>
          <w:sz w:val="22"/>
          <w:szCs w:val="22"/>
        </w:rPr>
        <w:br/>
      </w:r>
      <w:r w:rsidRPr="007153F9">
        <w:rPr>
          <w:rFonts w:ascii="Verdana" w:hAnsi="Verdana" w:cs="Arial"/>
          <w:i/>
          <w:sz w:val="22"/>
          <w:szCs w:val="22"/>
        </w:rPr>
        <w:t>2 mld EUR i będą o 33% większe niż w 2016 r. i</w:t>
      </w:r>
      <w:r w:rsidRPr="007153F9">
        <w:rPr>
          <w:rFonts w:ascii="Verdana" w:eastAsiaTheme="minorHAnsi" w:hAnsi="Verdana" w:cs="Arial"/>
          <w:i/>
          <w:color w:val="000000" w:themeColor="text1"/>
          <w:sz w:val="22"/>
          <w:szCs w:val="22"/>
          <w:lang w:eastAsia="en-US"/>
        </w:rPr>
        <w:t xml:space="preserve"> </w:t>
      </w:r>
      <w:r w:rsidR="00856A33">
        <w:rPr>
          <w:rFonts w:ascii="Verdana" w:eastAsiaTheme="minorHAnsi" w:hAnsi="Verdana" w:cs="Arial"/>
          <w:i/>
          <w:color w:val="000000" w:themeColor="text1"/>
          <w:sz w:val="22"/>
          <w:szCs w:val="22"/>
          <w:lang w:eastAsia="en-US"/>
        </w:rPr>
        <w:t xml:space="preserve">o </w:t>
      </w:r>
      <w:r w:rsidRPr="007153F9">
        <w:rPr>
          <w:rFonts w:ascii="Verdana" w:eastAsiaTheme="minorHAnsi" w:hAnsi="Verdana" w:cs="Arial"/>
          <w:i/>
          <w:color w:val="000000" w:themeColor="text1"/>
          <w:sz w:val="22"/>
          <w:szCs w:val="22"/>
          <w:lang w:eastAsia="en-US"/>
        </w:rPr>
        <w:t>28% większe niż w 2015 r.</w:t>
      </w:r>
    </w:p>
    <w:p w:rsidR="00330EEF" w:rsidRDefault="00330EEF" w:rsidP="00330EEF">
      <w:pPr>
        <w:tabs>
          <w:tab w:val="left" w:pos="2127"/>
        </w:tabs>
        <w:spacing w:before="120" w:line="360" w:lineRule="auto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 xml:space="preserve">Wolumen </w:t>
      </w:r>
      <w:r w:rsidRPr="007153F9">
        <w:rPr>
          <w:rFonts w:ascii="Verdana" w:hAnsi="Verdana" w:cs="Arial"/>
          <w:b/>
          <w:sz w:val="22"/>
          <w:szCs w:val="22"/>
        </w:rPr>
        <w:t>eksportu warzyw</w:t>
      </w:r>
      <w:r w:rsidRPr="007153F9">
        <w:rPr>
          <w:rStyle w:val="Odwoanieprzypisudolnego"/>
          <w:rFonts w:ascii="Verdana" w:hAnsi="Verdana" w:cs="Arial"/>
          <w:b/>
          <w:sz w:val="22"/>
          <w:szCs w:val="22"/>
        </w:rPr>
        <w:footnoteReference w:id="9"/>
      </w:r>
      <w:r w:rsidRPr="007153F9">
        <w:rPr>
          <w:rFonts w:ascii="Verdana" w:hAnsi="Verdana" w:cs="Arial"/>
          <w:b/>
          <w:sz w:val="22"/>
          <w:szCs w:val="22"/>
        </w:rPr>
        <w:t xml:space="preserve"> i przetworów warzywnych</w:t>
      </w:r>
      <w:r w:rsidRPr="007153F9">
        <w:rPr>
          <w:rFonts w:ascii="Verdana" w:hAnsi="Verdana" w:cs="Arial"/>
          <w:sz w:val="22"/>
          <w:szCs w:val="22"/>
        </w:rPr>
        <w:t xml:space="preserve"> w </w:t>
      </w:r>
      <w:r w:rsidRPr="007153F9">
        <w:rPr>
          <w:rFonts w:ascii="Verdana" w:hAnsi="Verdana"/>
          <w:color w:val="000000"/>
          <w:sz w:val="22"/>
          <w:szCs w:val="22"/>
        </w:rPr>
        <w:t xml:space="preserve">okresie styczeń–lipiec </w:t>
      </w:r>
      <w:r w:rsidRPr="007153F9">
        <w:rPr>
          <w:rFonts w:ascii="Verdana" w:hAnsi="Verdana" w:cs="Arial"/>
          <w:sz w:val="22"/>
          <w:szCs w:val="22"/>
        </w:rPr>
        <w:t xml:space="preserve">2017 r. ukształtował się na poziomie o 4% wyższym niż w </w:t>
      </w:r>
      <w:r w:rsidRPr="007153F9">
        <w:rPr>
          <w:rFonts w:ascii="Verdana" w:hAnsi="Verdana"/>
          <w:color w:val="000000"/>
          <w:sz w:val="22"/>
          <w:szCs w:val="22"/>
        </w:rPr>
        <w:t xml:space="preserve">tym samym okresie 2016 r. </w:t>
      </w:r>
      <w:r w:rsidRPr="007153F9">
        <w:rPr>
          <w:rFonts w:ascii="Verdana" w:hAnsi="Verdana" w:cs="Arial"/>
          <w:sz w:val="22"/>
          <w:szCs w:val="22"/>
        </w:rPr>
        <w:t xml:space="preserve">i wyniósł 988 tys. ton. Wpływy ze sprzedaży </w:t>
      </w:r>
      <w:r w:rsidRPr="007153F9">
        <w:rPr>
          <w:rFonts w:ascii="Verdana" w:hAnsi="Verdana" w:cs="Arial"/>
          <w:spacing w:val="-4"/>
          <w:sz w:val="22"/>
          <w:szCs w:val="22"/>
        </w:rPr>
        <w:t xml:space="preserve">zagranicznej tej grupy towarów wyniosły 825 mln euro i były o 1,5% większe. Głównym rynkiem zbytu były kraje UE, do których wywieziono 719 tys. ton </w:t>
      </w:r>
      <w:r w:rsidRPr="007153F9">
        <w:rPr>
          <w:rFonts w:ascii="Verdana" w:hAnsi="Verdana" w:cs="Arial"/>
          <w:sz w:val="22"/>
          <w:szCs w:val="22"/>
        </w:rPr>
        <w:t xml:space="preserve">warzyw i przetworów o wartości 642 mln euro, </w:t>
      </w:r>
      <w:r w:rsidRPr="00F525DF">
        <w:rPr>
          <w:rFonts w:ascii="Verdana" w:hAnsi="Verdana" w:cs="Arial"/>
          <w:spacing w:val="-4"/>
          <w:sz w:val="22"/>
          <w:szCs w:val="22"/>
        </w:rPr>
        <w:t>odpowiednio o 2% więcej, ale o 2% mniej niż w porównywalnym okresie 2016 roku</w:t>
      </w:r>
      <w:r w:rsidRPr="007153F9">
        <w:rPr>
          <w:rFonts w:ascii="Verdana" w:hAnsi="Verdana" w:cs="Arial"/>
          <w:sz w:val="22"/>
          <w:szCs w:val="22"/>
        </w:rPr>
        <w:t xml:space="preserve">. Największe wpływy ze sprzedaży zagranicznej do UE uzyskano w eksporcie </w:t>
      </w:r>
      <w:r w:rsidR="009701E6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 xml:space="preserve">do Niemiec (177 mln euro), a następnie Wielkiej Brytanii (91 mln euro), a także </w:t>
      </w:r>
      <w:r w:rsidR="00F525DF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 xml:space="preserve">do Francji (50 mln euro), Czech (42 mln euro) i Holandii (37 mln euro). Wpływy </w:t>
      </w:r>
      <w:r w:rsidR="009701E6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 xml:space="preserve">ze sprzedaży na rynek unijny stanowiły 78% wartości eksportu. Wartość eksportu do krajów WNP wzrosła o 18%, do 121 mln euro, w tym m.in.: na Białoruś o 8%, do 48 mln euro, do Rosji o 25%, do 41 mln euro, na Ukrainę o 26%, do 25 mln euro i do Kazachstanu o 14%, do 4 mln euro. Wpływy z eksportu do pozostałych </w:t>
      </w:r>
      <w:r w:rsidRPr="00F525DF">
        <w:rPr>
          <w:rFonts w:ascii="Verdana" w:hAnsi="Verdana" w:cs="Arial"/>
          <w:spacing w:val="-4"/>
          <w:sz w:val="22"/>
          <w:szCs w:val="22"/>
        </w:rPr>
        <w:t>krajów wzrosły o 17%, do 63 mln euro, w tym m.in.: do USA o 48%, do 19 mln euro</w:t>
      </w:r>
      <w:r w:rsidRPr="007153F9">
        <w:rPr>
          <w:rFonts w:ascii="Verdana" w:hAnsi="Verdana" w:cs="Arial"/>
          <w:sz w:val="22"/>
          <w:szCs w:val="22"/>
        </w:rPr>
        <w:t xml:space="preserve">, do Serbii o 75%, do 6 mln euro, do Szwajcarii o 10%, do 4 mln euro, do Kanady </w:t>
      </w:r>
      <w:r w:rsidR="00F525DF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>o 17%, do 4 mln euro, a spadły m.in. do Norwegii o 11%, do 6 mln euro.</w:t>
      </w:r>
    </w:p>
    <w:p w:rsidR="00330EEF" w:rsidRPr="007153F9" w:rsidRDefault="00330EEF" w:rsidP="000277CE">
      <w:pPr>
        <w:spacing w:before="60" w:after="120"/>
        <w:jc w:val="both"/>
        <w:rPr>
          <w:rFonts w:ascii="Verdana" w:hAnsi="Verdana" w:cs="Arial"/>
          <w:b/>
          <w:bCs/>
          <w:spacing w:val="-10"/>
          <w:sz w:val="22"/>
          <w:szCs w:val="22"/>
        </w:rPr>
      </w:pPr>
      <w:r w:rsidRPr="007153F9">
        <w:rPr>
          <w:rFonts w:ascii="Verdana" w:hAnsi="Verdana" w:cs="Arial"/>
          <w:b/>
          <w:bCs/>
          <w:spacing w:val="-10"/>
          <w:sz w:val="22"/>
          <w:szCs w:val="22"/>
        </w:rPr>
        <w:t xml:space="preserve">Handel zagraniczny </w:t>
      </w:r>
      <w:r w:rsidRPr="007153F9">
        <w:rPr>
          <w:rFonts w:ascii="Verdana" w:hAnsi="Verdana" w:cs="Arial"/>
          <w:b/>
          <w:spacing w:val="-10"/>
          <w:sz w:val="22"/>
          <w:szCs w:val="22"/>
        </w:rPr>
        <w:t>warzywami i przetworami warzywnymi</w:t>
      </w:r>
      <w:r w:rsidRPr="007153F9">
        <w:rPr>
          <w:rFonts w:ascii="Verdana" w:hAnsi="Verdana" w:cs="Arial"/>
          <w:b/>
          <w:bCs/>
          <w:spacing w:val="-10"/>
          <w:sz w:val="22"/>
          <w:szCs w:val="22"/>
        </w:rPr>
        <w:t xml:space="preserve"> </w:t>
      </w:r>
    </w:p>
    <w:p w:rsidR="00330EEF" w:rsidRPr="00F935D3" w:rsidRDefault="00330EEF" w:rsidP="00330EEF">
      <w:pPr>
        <w:spacing w:before="20" w:after="240"/>
        <w:jc w:val="both"/>
        <w:rPr>
          <w:rFonts w:ascii="Verdana" w:hAnsi="Verdana" w:cs="Arial"/>
          <w:b/>
          <w:bCs/>
          <w:sz w:val="20"/>
        </w:rPr>
      </w:pPr>
      <w:r>
        <w:rPr>
          <w:noProof/>
        </w:rPr>
        <w:drawing>
          <wp:inline distT="0" distB="0" distL="0" distR="0" wp14:anchorId="10B998EF" wp14:editId="3B2CC9F0">
            <wp:extent cx="5943600" cy="3211033"/>
            <wp:effectExtent l="0" t="0" r="19050" b="2794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F935D3">
        <w:rPr>
          <w:rFonts w:ascii="Verdana" w:hAnsi="Verdana" w:cs="Arial"/>
          <w:bCs/>
          <w:spacing w:val="-2"/>
          <w:sz w:val="20"/>
        </w:rPr>
        <w:t xml:space="preserve">Źródło: opracowanie </w:t>
      </w:r>
      <w:r>
        <w:rPr>
          <w:rFonts w:ascii="Verdana" w:hAnsi="Verdana" w:cs="Arial"/>
          <w:bCs/>
          <w:spacing w:val="-2"/>
          <w:sz w:val="20"/>
        </w:rPr>
        <w:t>Biura Analiz i Strategii Krajowego Ośrodka Wsparcia Rolnictwa</w:t>
      </w:r>
      <w:r w:rsidRPr="00F935D3">
        <w:rPr>
          <w:rFonts w:ascii="Verdana" w:hAnsi="Verdana" w:cs="Arial"/>
          <w:bCs/>
          <w:spacing w:val="-2"/>
          <w:sz w:val="20"/>
        </w:rPr>
        <w:t xml:space="preserve"> na podstawie danych Ministerstwa Finansów i IERiGŻ – PIB</w:t>
      </w:r>
      <w:r>
        <w:rPr>
          <w:rFonts w:ascii="Verdana" w:hAnsi="Verdana" w:cs="Arial"/>
          <w:bCs/>
          <w:spacing w:val="-2"/>
          <w:sz w:val="20"/>
        </w:rPr>
        <w:t xml:space="preserve">, </w:t>
      </w:r>
      <w:r w:rsidRPr="0044400C">
        <w:rPr>
          <w:rFonts w:ascii="Verdana" w:hAnsi="Verdana" w:cs="Arial"/>
          <w:bCs/>
          <w:spacing w:val="-2"/>
          <w:sz w:val="20"/>
        </w:rPr>
        <w:t xml:space="preserve">za I–VII </w:t>
      </w:r>
      <w:r>
        <w:rPr>
          <w:rFonts w:ascii="Verdana" w:hAnsi="Verdana" w:cs="Arial"/>
          <w:bCs/>
          <w:spacing w:val="-2"/>
          <w:sz w:val="20"/>
        </w:rPr>
        <w:t>2017</w:t>
      </w:r>
      <w:r w:rsidRPr="00F935D3">
        <w:rPr>
          <w:rFonts w:ascii="Verdana" w:hAnsi="Verdana" w:cs="Arial"/>
          <w:bCs/>
          <w:spacing w:val="-2"/>
          <w:sz w:val="20"/>
        </w:rPr>
        <w:t xml:space="preserve"> r. dane wstępne</w:t>
      </w:r>
      <w:r>
        <w:rPr>
          <w:rFonts w:ascii="Verdana" w:hAnsi="Verdana" w:cs="Arial"/>
          <w:bCs/>
          <w:spacing w:val="-2"/>
          <w:sz w:val="20"/>
        </w:rPr>
        <w:t>,</w:t>
      </w:r>
      <w:r w:rsidRPr="00F935D3">
        <w:rPr>
          <w:rFonts w:ascii="Verdana" w:hAnsi="Verdana" w:cs="Arial"/>
          <w:bCs/>
          <w:spacing w:val="-2"/>
          <w:sz w:val="20"/>
        </w:rPr>
        <w:t xml:space="preserve"> </w:t>
      </w:r>
      <w:r>
        <w:rPr>
          <w:rFonts w:ascii="Verdana" w:hAnsi="Verdana" w:cs="Arial"/>
          <w:bCs/>
          <w:spacing w:val="-2"/>
          <w:sz w:val="20"/>
        </w:rPr>
        <w:br/>
        <w:t>za cały 2017 r. szacunek KOWR</w:t>
      </w:r>
      <w:r w:rsidRPr="00F935D3">
        <w:rPr>
          <w:rFonts w:ascii="Verdana" w:hAnsi="Verdana" w:cs="Arial"/>
          <w:bCs/>
          <w:sz w:val="20"/>
        </w:rPr>
        <w:t>.</w:t>
      </w:r>
      <w:r>
        <w:rPr>
          <w:rFonts w:ascii="Verdana" w:hAnsi="Verdana" w:cs="Arial"/>
          <w:bCs/>
          <w:sz w:val="20"/>
        </w:rPr>
        <w:t xml:space="preserve"> </w:t>
      </w:r>
      <w:r w:rsidRPr="00817DD2">
        <w:rPr>
          <w:rFonts w:ascii="Verdana" w:hAnsi="Verdana" w:cs="Arial"/>
          <w:bCs/>
          <w:spacing w:val="-2"/>
          <w:sz w:val="20"/>
        </w:rPr>
        <w:t xml:space="preserve">Wartość eksportu i importu warzyw i przetworów na 2017 r. obliczono wykorzystując dynamikę prognozowaną przez IERiGŻ – PIB dla grupy warzyw </w:t>
      </w:r>
      <w:r>
        <w:rPr>
          <w:rFonts w:ascii="Verdana" w:hAnsi="Verdana" w:cs="Arial"/>
          <w:bCs/>
          <w:spacing w:val="-2"/>
          <w:sz w:val="20"/>
        </w:rPr>
        <w:br/>
      </w:r>
      <w:r w:rsidRPr="00817DD2">
        <w:rPr>
          <w:rFonts w:ascii="Verdana" w:hAnsi="Verdana" w:cs="Arial"/>
          <w:bCs/>
          <w:spacing w:val="-2"/>
          <w:sz w:val="20"/>
        </w:rPr>
        <w:t>i przetworów objętych prognozą IERiGŻ – PIB.</w:t>
      </w:r>
    </w:p>
    <w:p w:rsidR="00330EEF" w:rsidRPr="007153F9" w:rsidRDefault="00330EEF" w:rsidP="00330EEF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i/>
          <w:sz w:val="22"/>
          <w:szCs w:val="22"/>
        </w:rPr>
      </w:pPr>
      <w:r w:rsidRPr="007153F9">
        <w:rPr>
          <w:rFonts w:ascii="Verdana" w:hAnsi="Verdana" w:cs="Arial"/>
          <w:i/>
          <w:sz w:val="22"/>
          <w:szCs w:val="22"/>
        </w:rPr>
        <w:t>Eksport</w:t>
      </w:r>
      <w:r w:rsidRPr="007153F9">
        <w:rPr>
          <w:rFonts w:ascii="Verdana" w:hAnsi="Verdana" w:cs="SwitzerCndTTEFN"/>
          <w:i/>
          <w:sz w:val="22"/>
          <w:szCs w:val="22"/>
        </w:rPr>
        <w:t xml:space="preserve"> </w:t>
      </w:r>
      <w:r w:rsidRPr="007153F9">
        <w:rPr>
          <w:rFonts w:ascii="Verdana" w:hAnsi="Verdana" w:cs="Arial"/>
          <w:i/>
          <w:sz w:val="22"/>
          <w:szCs w:val="22"/>
        </w:rPr>
        <w:t>warzyw</w:t>
      </w:r>
      <w:r w:rsidRPr="007153F9">
        <w:rPr>
          <w:rStyle w:val="Odwoanieprzypisudolnego"/>
          <w:rFonts w:ascii="Verdana" w:hAnsi="Verdana" w:cs="Arial"/>
          <w:i/>
          <w:sz w:val="22"/>
          <w:szCs w:val="22"/>
        </w:rPr>
        <w:footnoteReference w:id="10"/>
      </w:r>
      <w:r w:rsidRPr="007153F9">
        <w:rPr>
          <w:rFonts w:ascii="Verdana" w:hAnsi="Verdana" w:cs="Arial"/>
          <w:i/>
          <w:sz w:val="22"/>
          <w:szCs w:val="22"/>
        </w:rPr>
        <w:t xml:space="preserve"> i przetworów warzywnych w 2017 r. może być o 2-3% mniejszy od notowanego w 2016 r. i wyniesie odpowiednio ok. 460 tys. ton (250 mln euro) </w:t>
      </w:r>
      <w:r w:rsidR="009701E6">
        <w:rPr>
          <w:rFonts w:ascii="Verdana" w:hAnsi="Verdana" w:cs="Arial"/>
          <w:i/>
          <w:sz w:val="22"/>
          <w:szCs w:val="22"/>
        </w:rPr>
        <w:br/>
      </w:r>
      <w:r w:rsidRPr="007153F9">
        <w:rPr>
          <w:rFonts w:ascii="Verdana" w:hAnsi="Verdana" w:cs="Arial"/>
          <w:i/>
          <w:sz w:val="22"/>
          <w:szCs w:val="22"/>
        </w:rPr>
        <w:t xml:space="preserve">i 660 tys. ton (500 mln euro). Mniejsza będzie sprzedaż pomidorów, ogórków, kalafiorów i większości przetworów warzywnych (poza konserwami i kiszoną kapustą). W 2017 r. wartość eksportu pieczarek i ich przetworów wzrośnie nieznacznie do ok. 445 mln euro. </w:t>
      </w:r>
    </w:p>
    <w:p w:rsidR="00330EEF" w:rsidRPr="007153F9" w:rsidRDefault="00330EEF" w:rsidP="001A65E9">
      <w:pPr>
        <w:spacing w:before="60" w:line="360" w:lineRule="auto"/>
        <w:jc w:val="both"/>
        <w:rPr>
          <w:rFonts w:ascii="Verdana" w:hAnsi="Verdana" w:cs="Arial"/>
          <w:b/>
          <w:bCs/>
          <w:spacing w:val="-4"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 xml:space="preserve">Z Polski w </w:t>
      </w:r>
      <w:r w:rsidRPr="007153F9">
        <w:rPr>
          <w:rFonts w:ascii="Verdana" w:hAnsi="Verdana"/>
          <w:color w:val="000000"/>
          <w:sz w:val="22"/>
          <w:szCs w:val="22"/>
        </w:rPr>
        <w:t>okresie styczeń–lipiec</w:t>
      </w:r>
      <w:r w:rsidRPr="007153F9">
        <w:rPr>
          <w:rFonts w:ascii="Verdana" w:hAnsi="Verdana" w:cs="Arial"/>
          <w:sz w:val="22"/>
          <w:szCs w:val="22"/>
        </w:rPr>
        <w:t xml:space="preserve"> 2017 r. wyeksportowano 1,21 mln ton </w:t>
      </w:r>
      <w:r w:rsidRPr="007153F9">
        <w:rPr>
          <w:rFonts w:ascii="Verdana" w:hAnsi="Verdana" w:cs="Arial"/>
          <w:b/>
          <w:sz w:val="22"/>
          <w:szCs w:val="22"/>
        </w:rPr>
        <w:t>owoców</w:t>
      </w:r>
      <w:r w:rsidRPr="007153F9">
        <w:rPr>
          <w:rStyle w:val="Odwoanieprzypisudolnego"/>
          <w:rFonts w:ascii="Verdana" w:hAnsi="Verdana" w:cs="Arial"/>
          <w:b/>
          <w:sz w:val="22"/>
          <w:szCs w:val="22"/>
        </w:rPr>
        <w:footnoteReference w:id="11"/>
      </w:r>
      <w:r w:rsidRPr="007153F9">
        <w:rPr>
          <w:rFonts w:ascii="Verdana" w:hAnsi="Verdana" w:cs="Arial"/>
          <w:b/>
          <w:sz w:val="22"/>
          <w:szCs w:val="22"/>
        </w:rPr>
        <w:t xml:space="preserve"> i przetworów owocowych</w:t>
      </w:r>
      <w:r w:rsidRPr="007153F9">
        <w:rPr>
          <w:rFonts w:ascii="Verdana" w:hAnsi="Verdana" w:cs="Arial"/>
          <w:sz w:val="22"/>
          <w:szCs w:val="22"/>
        </w:rPr>
        <w:t xml:space="preserve"> wobec 1,23 mln ton w tym samym okresie rok wcześniej (spadek o 1%). Wartość eksportu wzrosła o 1,5%, do 771 mln euro. </w:t>
      </w:r>
      <w:r w:rsidR="001A65E9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b/>
          <w:bCs/>
          <w:spacing w:val="-4"/>
          <w:sz w:val="22"/>
          <w:szCs w:val="22"/>
        </w:rPr>
        <w:t xml:space="preserve">Handel zagraniczny </w:t>
      </w:r>
      <w:r w:rsidRPr="007153F9">
        <w:rPr>
          <w:rFonts w:ascii="Verdana" w:hAnsi="Verdana" w:cs="Arial"/>
          <w:b/>
          <w:spacing w:val="-4"/>
          <w:sz w:val="22"/>
          <w:szCs w:val="22"/>
        </w:rPr>
        <w:t>owocami i przetworami owocowymi</w:t>
      </w:r>
      <w:r w:rsidRPr="007153F9">
        <w:rPr>
          <w:rFonts w:ascii="Verdana" w:hAnsi="Verdana" w:cs="Arial"/>
          <w:b/>
          <w:bCs/>
          <w:spacing w:val="-4"/>
          <w:sz w:val="22"/>
          <w:szCs w:val="22"/>
        </w:rPr>
        <w:t xml:space="preserve"> </w:t>
      </w:r>
    </w:p>
    <w:p w:rsidR="00330EEF" w:rsidRPr="00F935D3" w:rsidRDefault="00330EEF" w:rsidP="001A65E9">
      <w:pPr>
        <w:spacing w:before="20"/>
        <w:jc w:val="both"/>
        <w:rPr>
          <w:rFonts w:ascii="Verdana" w:hAnsi="Verdana" w:cs="Arial"/>
          <w:b/>
          <w:bCs/>
          <w:sz w:val="20"/>
        </w:rPr>
      </w:pPr>
      <w:r>
        <w:rPr>
          <w:noProof/>
        </w:rPr>
        <w:drawing>
          <wp:inline distT="0" distB="0" distL="0" distR="0" wp14:anchorId="125541AB" wp14:editId="6BC4F0BF">
            <wp:extent cx="6000750" cy="3390900"/>
            <wp:effectExtent l="0" t="0" r="19050" b="19050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F935D3">
        <w:rPr>
          <w:rFonts w:ascii="Verdana" w:hAnsi="Verdana" w:cs="Arial"/>
          <w:bCs/>
          <w:spacing w:val="-2"/>
          <w:sz w:val="20"/>
        </w:rPr>
        <w:t xml:space="preserve">Źródło: opracowanie </w:t>
      </w:r>
      <w:r>
        <w:rPr>
          <w:rFonts w:ascii="Verdana" w:hAnsi="Verdana" w:cs="Arial"/>
          <w:bCs/>
          <w:spacing w:val="-2"/>
          <w:sz w:val="20"/>
        </w:rPr>
        <w:t>Biura Analiz i Strategii Krajowego Ośrodka Wsparcia Rolnictwa</w:t>
      </w:r>
      <w:r w:rsidRPr="00F935D3">
        <w:rPr>
          <w:rFonts w:ascii="Verdana" w:hAnsi="Verdana" w:cs="Arial"/>
          <w:bCs/>
          <w:spacing w:val="-2"/>
          <w:sz w:val="20"/>
        </w:rPr>
        <w:t xml:space="preserve"> na podstawie danych Ministerstwa Finansów i IERiGŻ – PIB</w:t>
      </w:r>
      <w:r>
        <w:rPr>
          <w:rFonts w:ascii="Verdana" w:hAnsi="Verdana" w:cs="Arial"/>
          <w:bCs/>
          <w:spacing w:val="-2"/>
          <w:sz w:val="20"/>
        </w:rPr>
        <w:t xml:space="preserve">, </w:t>
      </w:r>
      <w:r w:rsidRPr="0044400C">
        <w:rPr>
          <w:rFonts w:ascii="Verdana" w:hAnsi="Verdana" w:cs="Arial"/>
          <w:bCs/>
          <w:spacing w:val="-2"/>
          <w:sz w:val="20"/>
        </w:rPr>
        <w:t xml:space="preserve">za I–VII </w:t>
      </w:r>
      <w:r>
        <w:rPr>
          <w:rFonts w:ascii="Verdana" w:hAnsi="Verdana" w:cs="Arial"/>
          <w:bCs/>
          <w:spacing w:val="-2"/>
          <w:sz w:val="20"/>
        </w:rPr>
        <w:t>2017</w:t>
      </w:r>
      <w:r w:rsidRPr="00F935D3">
        <w:rPr>
          <w:rFonts w:ascii="Verdana" w:hAnsi="Verdana" w:cs="Arial"/>
          <w:bCs/>
          <w:spacing w:val="-2"/>
          <w:sz w:val="20"/>
        </w:rPr>
        <w:t xml:space="preserve"> r. dane wstępne</w:t>
      </w:r>
      <w:r>
        <w:rPr>
          <w:rFonts w:ascii="Verdana" w:hAnsi="Verdana" w:cs="Arial"/>
          <w:bCs/>
          <w:spacing w:val="-2"/>
          <w:sz w:val="20"/>
        </w:rPr>
        <w:t>,</w:t>
      </w:r>
      <w:r w:rsidRPr="00F935D3">
        <w:rPr>
          <w:rFonts w:ascii="Verdana" w:hAnsi="Verdana" w:cs="Arial"/>
          <w:bCs/>
          <w:spacing w:val="-2"/>
          <w:sz w:val="20"/>
        </w:rPr>
        <w:t xml:space="preserve"> </w:t>
      </w:r>
      <w:r>
        <w:rPr>
          <w:rFonts w:ascii="Verdana" w:hAnsi="Verdana" w:cs="Arial"/>
          <w:bCs/>
          <w:spacing w:val="-2"/>
          <w:sz w:val="20"/>
        </w:rPr>
        <w:br/>
        <w:t>za 2017 r. szacunek KOWR</w:t>
      </w:r>
      <w:r w:rsidRPr="00F935D3">
        <w:rPr>
          <w:rFonts w:ascii="Verdana" w:hAnsi="Verdana" w:cs="Arial"/>
          <w:bCs/>
          <w:sz w:val="20"/>
        </w:rPr>
        <w:t>.</w:t>
      </w:r>
      <w:r>
        <w:rPr>
          <w:rFonts w:ascii="Verdana" w:hAnsi="Verdana" w:cs="Arial"/>
          <w:bCs/>
          <w:sz w:val="20"/>
        </w:rPr>
        <w:t xml:space="preserve"> </w:t>
      </w:r>
      <w:r w:rsidRPr="00817DD2">
        <w:rPr>
          <w:rFonts w:ascii="Verdana" w:hAnsi="Verdana" w:cs="Arial"/>
          <w:bCs/>
          <w:spacing w:val="-2"/>
          <w:sz w:val="20"/>
        </w:rPr>
        <w:t xml:space="preserve">Wartość eksportu i importu owoców i przetworów na 2017 r. obliczono wykorzystując dynamikę prognozowaną przez IERiGŻ – PIB dla grupy owoców </w:t>
      </w:r>
      <w:r>
        <w:rPr>
          <w:rFonts w:ascii="Verdana" w:hAnsi="Verdana" w:cs="Arial"/>
          <w:bCs/>
          <w:spacing w:val="-2"/>
          <w:sz w:val="20"/>
        </w:rPr>
        <w:br/>
      </w:r>
      <w:r w:rsidRPr="00817DD2">
        <w:rPr>
          <w:rFonts w:ascii="Verdana" w:hAnsi="Verdana" w:cs="Arial"/>
          <w:bCs/>
          <w:spacing w:val="-2"/>
          <w:sz w:val="20"/>
        </w:rPr>
        <w:t>i przetworów objętych prognozą IERiGŻ – PIB.</w:t>
      </w:r>
    </w:p>
    <w:p w:rsidR="001A65E9" w:rsidRPr="007153F9" w:rsidRDefault="001A65E9" w:rsidP="001A65E9">
      <w:pPr>
        <w:spacing w:before="120" w:line="360" w:lineRule="auto"/>
        <w:jc w:val="both"/>
        <w:rPr>
          <w:rFonts w:ascii="Verdana" w:hAnsi="Verdana" w:cs="Arial"/>
          <w:spacing w:val="-6"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 xml:space="preserve">Do krajów WNP wysłano 603 tys. ton o wartości 200 mln euro </w:t>
      </w:r>
      <w:r w:rsidRPr="007153F9">
        <w:rPr>
          <w:rFonts w:ascii="Verdana" w:hAnsi="Verdana" w:cs="Arial"/>
          <w:spacing w:val="-6"/>
          <w:sz w:val="22"/>
          <w:szCs w:val="22"/>
        </w:rPr>
        <w:t xml:space="preserve">(odpowiednio o 2% </w:t>
      </w:r>
      <w:r w:rsidR="00F525DF">
        <w:rPr>
          <w:rFonts w:ascii="Verdana" w:hAnsi="Verdana" w:cs="Arial"/>
          <w:spacing w:val="-6"/>
          <w:sz w:val="22"/>
          <w:szCs w:val="22"/>
        </w:rPr>
        <w:br/>
      </w:r>
      <w:r w:rsidRPr="007153F9">
        <w:rPr>
          <w:rFonts w:ascii="Verdana" w:hAnsi="Verdana" w:cs="Arial"/>
          <w:spacing w:val="-6"/>
          <w:sz w:val="22"/>
          <w:szCs w:val="22"/>
        </w:rPr>
        <w:t>i 8% więcej niż przed rokiem), w tym najwięcej na Białoruś 458 tys. ton o wartośc</w:t>
      </w:r>
      <w:r w:rsidRPr="007153F9">
        <w:rPr>
          <w:rFonts w:ascii="Verdana" w:hAnsi="Verdana" w:cs="Arial"/>
          <w:sz w:val="22"/>
          <w:szCs w:val="22"/>
        </w:rPr>
        <w:t xml:space="preserve">i </w:t>
      </w:r>
      <w:r w:rsidR="00F525DF">
        <w:rPr>
          <w:rFonts w:ascii="Verdana" w:hAnsi="Verdana" w:cs="Arial"/>
          <w:sz w:val="22"/>
          <w:szCs w:val="22"/>
        </w:rPr>
        <w:br/>
      </w:r>
      <w:r w:rsidRPr="00F525DF">
        <w:rPr>
          <w:rFonts w:ascii="Verdana" w:hAnsi="Verdana" w:cs="Arial"/>
          <w:sz w:val="22"/>
          <w:szCs w:val="22"/>
        </w:rPr>
        <w:t xml:space="preserve">132 mln euro (odpowiednio o 6% i 2% mniej niż przed rokiem) oraz na Ukrainę </w:t>
      </w:r>
      <w:r w:rsidR="00F525DF">
        <w:rPr>
          <w:rFonts w:ascii="Verdana" w:hAnsi="Verdana" w:cs="Arial"/>
          <w:sz w:val="22"/>
          <w:szCs w:val="22"/>
        </w:rPr>
        <w:br/>
      </w:r>
      <w:r w:rsidRPr="00F525DF">
        <w:rPr>
          <w:rFonts w:ascii="Verdana" w:hAnsi="Verdana" w:cs="Arial"/>
          <w:sz w:val="22"/>
          <w:szCs w:val="22"/>
        </w:rPr>
        <w:t>72 tys. ton</w:t>
      </w:r>
      <w:r w:rsidRPr="007153F9">
        <w:rPr>
          <w:rFonts w:ascii="Verdana" w:hAnsi="Verdana" w:cs="Arial"/>
          <w:sz w:val="22"/>
          <w:szCs w:val="22"/>
        </w:rPr>
        <w:t xml:space="preserve"> o wartości 37 mln euro </w:t>
      </w:r>
      <w:r w:rsidRPr="007153F9">
        <w:rPr>
          <w:rFonts w:ascii="Verdana" w:hAnsi="Verdana" w:cs="Arial"/>
          <w:spacing w:val="-6"/>
          <w:sz w:val="22"/>
          <w:szCs w:val="22"/>
        </w:rPr>
        <w:t xml:space="preserve">(odpowiednio o 39% i 38% więcej). Do krajów UE wysłano </w:t>
      </w:r>
      <w:r w:rsidRPr="007153F9">
        <w:rPr>
          <w:rFonts w:ascii="Verdana" w:hAnsi="Verdana" w:cs="Arial"/>
          <w:sz w:val="22"/>
          <w:szCs w:val="22"/>
        </w:rPr>
        <w:t xml:space="preserve">505 tys. ton o wartości 500 mln euro </w:t>
      </w:r>
      <w:r w:rsidRPr="007153F9">
        <w:rPr>
          <w:rFonts w:ascii="Verdana" w:hAnsi="Verdana" w:cs="Arial"/>
          <w:spacing w:val="-6"/>
          <w:sz w:val="22"/>
          <w:szCs w:val="22"/>
        </w:rPr>
        <w:t xml:space="preserve">(odpowiednio o 5% i 1% mniej niż przed rokiem), najwięcej do Niemiec </w:t>
      </w:r>
      <w:r w:rsidRPr="007153F9">
        <w:rPr>
          <w:rFonts w:ascii="Verdana" w:hAnsi="Verdana" w:cs="Arial"/>
          <w:sz w:val="22"/>
          <w:szCs w:val="22"/>
        </w:rPr>
        <w:t xml:space="preserve">132 tys. ton o wartości 150 mln euro </w:t>
      </w:r>
      <w:r w:rsidRPr="007153F9">
        <w:rPr>
          <w:rFonts w:ascii="Verdana" w:hAnsi="Verdana" w:cs="Arial"/>
          <w:spacing w:val="-6"/>
          <w:sz w:val="22"/>
          <w:szCs w:val="22"/>
        </w:rPr>
        <w:t>(odpowiednio o 5% i 3% mniej niż przed rokiem).</w:t>
      </w:r>
    </w:p>
    <w:p w:rsidR="00330EEF" w:rsidRPr="007153F9" w:rsidRDefault="001A65E9" w:rsidP="001A65E9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i/>
          <w:sz w:val="22"/>
          <w:szCs w:val="22"/>
          <w:highlight w:val="yellow"/>
        </w:rPr>
      </w:pPr>
      <w:r w:rsidRPr="007153F9">
        <w:rPr>
          <w:rFonts w:ascii="Verdana" w:hAnsi="Verdana" w:cs="Arial"/>
          <w:sz w:val="22"/>
          <w:szCs w:val="22"/>
        </w:rPr>
        <w:t xml:space="preserve">W polskim eksporcie owoców dominującą pozycję stanowią jabłka. W </w:t>
      </w:r>
      <w:r w:rsidRPr="007153F9">
        <w:rPr>
          <w:rFonts w:ascii="Verdana" w:hAnsi="Verdana"/>
          <w:color w:val="000000"/>
          <w:sz w:val="22"/>
          <w:szCs w:val="22"/>
        </w:rPr>
        <w:t xml:space="preserve">okresie </w:t>
      </w:r>
      <w:r w:rsidRPr="009701E6">
        <w:rPr>
          <w:rFonts w:ascii="Verdana" w:hAnsi="Verdana"/>
          <w:color w:val="000000"/>
          <w:spacing w:val="-2"/>
          <w:sz w:val="22"/>
          <w:szCs w:val="22"/>
        </w:rPr>
        <w:t>styczeń–lipiec</w:t>
      </w:r>
      <w:r w:rsidRPr="009701E6">
        <w:rPr>
          <w:rFonts w:ascii="Verdana" w:hAnsi="Verdana" w:cs="Arial"/>
          <w:spacing w:val="-2"/>
          <w:sz w:val="22"/>
          <w:szCs w:val="22"/>
        </w:rPr>
        <w:t xml:space="preserve"> 2017 r. wolumen eksportu jabłek wyniósł 796 tys. ton, nieznacznie </w:t>
      </w:r>
      <w:r>
        <w:rPr>
          <w:rFonts w:ascii="Verdana" w:hAnsi="Verdana" w:cs="Arial"/>
          <w:spacing w:val="-2"/>
          <w:sz w:val="22"/>
          <w:szCs w:val="22"/>
        </w:rPr>
        <w:br/>
      </w:r>
      <w:r w:rsidRPr="009701E6">
        <w:rPr>
          <w:rFonts w:ascii="Verdana" w:hAnsi="Verdana" w:cs="Arial"/>
          <w:spacing w:val="-2"/>
          <w:sz w:val="22"/>
          <w:szCs w:val="22"/>
        </w:rPr>
        <w:t>(o 0,5%)</w:t>
      </w:r>
      <w:r w:rsidRPr="007153F9">
        <w:rPr>
          <w:rFonts w:ascii="Verdana" w:hAnsi="Verdana" w:cs="Arial"/>
          <w:sz w:val="22"/>
          <w:szCs w:val="22"/>
        </w:rPr>
        <w:t xml:space="preserve"> mniej niż w tym samym okresie poprzedniego roku, a wartość sprzedaży zagranicznej jabłek </w:t>
      </w:r>
      <w:r w:rsidRPr="007153F9">
        <w:rPr>
          <w:rFonts w:ascii="Verdana" w:hAnsi="Verdana" w:cs="Arial"/>
          <w:spacing w:val="-4"/>
          <w:sz w:val="22"/>
          <w:szCs w:val="22"/>
        </w:rPr>
        <w:t>osiągnęła poziom 253 mln euro</w:t>
      </w:r>
      <w:r w:rsidRPr="007153F9">
        <w:rPr>
          <w:rFonts w:ascii="Verdana" w:hAnsi="Verdana" w:cs="Arial"/>
          <w:sz w:val="22"/>
          <w:szCs w:val="22"/>
        </w:rPr>
        <w:t>, o 9% wyższy</w:t>
      </w:r>
      <w:r w:rsidRPr="007153F9">
        <w:rPr>
          <w:rFonts w:ascii="Verdana" w:hAnsi="Verdana" w:cs="Arial"/>
          <w:spacing w:val="-4"/>
          <w:sz w:val="22"/>
          <w:szCs w:val="22"/>
        </w:rPr>
        <w:t xml:space="preserve">. </w:t>
      </w:r>
      <w:r w:rsidRPr="007153F9">
        <w:rPr>
          <w:rFonts w:ascii="Verdana" w:hAnsi="Verdana" w:cs="Arial"/>
          <w:sz w:val="22"/>
          <w:szCs w:val="22"/>
        </w:rPr>
        <w:t xml:space="preserve">Głównym kierunkiem eksportu polskich jabłek są kraje WNP. </w:t>
      </w:r>
      <w:r w:rsidRPr="007153F9">
        <w:rPr>
          <w:rFonts w:ascii="Verdana" w:hAnsi="Verdana" w:cs="Arial"/>
          <w:spacing w:val="-4"/>
          <w:sz w:val="22"/>
          <w:szCs w:val="22"/>
        </w:rPr>
        <w:t>Do państw WNP sprzedano blisko 498 tys. ton</w:t>
      </w:r>
      <w:r w:rsidRPr="007153F9">
        <w:rPr>
          <w:rFonts w:ascii="Verdana" w:hAnsi="Verdana" w:cs="Arial"/>
          <w:sz w:val="22"/>
          <w:szCs w:val="22"/>
        </w:rPr>
        <w:t xml:space="preserve"> jabłek, o 3% więcej niż w analogicznym okresie 2016 r., uzyskując </w:t>
      </w:r>
      <w:r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 xml:space="preserve">142 mln euro, o 13% więcej. Najwięcej jabłek trafiło na Białoruś 393 tys. ton </w:t>
      </w:r>
      <w:r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 xml:space="preserve">(o 4% mniej), o wartości 111 mln euro (o 5% więcej) i stanowiło to 78% eksportu do Wspólnoty Niepodległych Państw. Kolejnym odbiorcom jabłek był Kazachstan, </w:t>
      </w:r>
      <w:r w:rsidR="00386BC5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 xml:space="preserve">do którego wywieziono 64 tys. ton za 19 mln euro. Największym odbiorcą poza UE </w:t>
      </w:r>
      <w:r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>i WNP były Serbia (36 tys. ton), Bośnia i Hercegowi</w:t>
      </w:r>
      <w:r>
        <w:rPr>
          <w:rFonts w:ascii="Verdana" w:hAnsi="Verdana" w:cs="Arial"/>
          <w:sz w:val="22"/>
          <w:szCs w:val="22"/>
        </w:rPr>
        <w:t>na oraz Egipt (po 12 tys. ton).</w:t>
      </w:r>
      <w:r>
        <w:rPr>
          <w:rFonts w:ascii="Verdana" w:hAnsi="Verdana" w:cs="Arial"/>
          <w:sz w:val="22"/>
          <w:szCs w:val="22"/>
        </w:rPr>
        <w:br/>
      </w:r>
      <w:r w:rsidR="008B7C65" w:rsidRPr="007153F9">
        <w:rPr>
          <w:rFonts w:ascii="Verdana" w:hAnsi="Verdana" w:cs="Arial"/>
          <w:i/>
          <w:sz w:val="22"/>
          <w:szCs w:val="22"/>
        </w:rPr>
        <w:t>W 2017 r. na skutek szacowanych niższych krajowych zbiorów owoców eksport całego asortymentu prawdopodobnie będzie mniejszy niż w 2016 r. Wywóz</w:t>
      </w:r>
      <w:r w:rsidR="00330EEF" w:rsidRPr="007153F9">
        <w:rPr>
          <w:rFonts w:ascii="Verdana" w:hAnsi="Verdana" w:cs="Arial"/>
          <w:i/>
          <w:sz w:val="22"/>
          <w:szCs w:val="22"/>
        </w:rPr>
        <w:t xml:space="preserve"> owoców </w:t>
      </w:r>
      <w:r w:rsidR="00330EEF" w:rsidRPr="00386BC5">
        <w:rPr>
          <w:rFonts w:ascii="Verdana" w:hAnsi="Verdana" w:cs="Arial"/>
          <w:i/>
          <w:spacing w:val="-6"/>
          <w:sz w:val="22"/>
          <w:szCs w:val="22"/>
        </w:rPr>
        <w:t xml:space="preserve">świeżych w relacji do roku poprzedniego </w:t>
      </w:r>
      <w:r w:rsidR="008B7C65" w:rsidRPr="00386BC5">
        <w:rPr>
          <w:rFonts w:ascii="Verdana" w:hAnsi="Verdana" w:cs="Arial"/>
          <w:i/>
          <w:spacing w:val="-6"/>
          <w:sz w:val="22"/>
          <w:szCs w:val="22"/>
        </w:rPr>
        <w:t xml:space="preserve">może obniżyć się </w:t>
      </w:r>
      <w:r w:rsidR="00330EEF" w:rsidRPr="00386BC5">
        <w:rPr>
          <w:rFonts w:ascii="Verdana" w:hAnsi="Verdana" w:cs="Arial"/>
          <w:i/>
          <w:spacing w:val="-6"/>
          <w:sz w:val="22"/>
          <w:szCs w:val="22"/>
        </w:rPr>
        <w:t>o ok</w:t>
      </w:r>
      <w:r w:rsidR="008B7C65" w:rsidRPr="00386BC5">
        <w:rPr>
          <w:rFonts w:ascii="Verdana" w:hAnsi="Verdana" w:cs="Arial"/>
          <w:i/>
          <w:spacing w:val="-6"/>
          <w:sz w:val="22"/>
          <w:szCs w:val="22"/>
        </w:rPr>
        <w:t>oło</w:t>
      </w:r>
      <w:r w:rsidR="00330EEF" w:rsidRPr="00386BC5">
        <w:rPr>
          <w:rFonts w:ascii="Verdana" w:hAnsi="Verdana" w:cs="Arial"/>
          <w:i/>
          <w:spacing w:val="-6"/>
          <w:sz w:val="22"/>
          <w:szCs w:val="22"/>
        </w:rPr>
        <w:t xml:space="preserve"> 12%</w:t>
      </w:r>
      <w:r w:rsidR="008B7C65" w:rsidRPr="00386BC5">
        <w:rPr>
          <w:rFonts w:ascii="Verdana" w:hAnsi="Verdana" w:cs="Arial"/>
          <w:i/>
          <w:spacing w:val="-6"/>
          <w:sz w:val="22"/>
          <w:szCs w:val="22"/>
        </w:rPr>
        <w:t>,</w:t>
      </w:r>
      <w:r w:rsidR="00330EEF" w:rsidRPr="00386BC5">
        <w:rPr>
          <w:rFonts w:ascii="Verdana" w:hAnsi="Verdana" w:cs="Arial"/>
          <w:i/>
          <w:spacing w:val="-6"/>
          <w:sz w:val="22"/>
          <w:szCs w:val="22"/>
        </w:rPr>
        <w:t xml:space="preserve"> do 1,2 mln ton</w:t>
      </w:r>
      <w:r w:rsidR="00330EEF" w:rsidRPr="007153F9">
        <w:rPr>
          <w:rFonts w:ascii="Verdana" w:hAnsi="Verdana" w:cs="Arial"/>
          <w:i/>
          <w:sz w:val="22"/>
          <w:szCs w:val="22"/>
        </w:rPr>
        <w:t xml:space="preserve">, a przetworów owocowych </w:t>
      </w:r>
      <w:r w:rsidR="008B7C65" w:rsidRPr="007153F9">
        <w:rPr>
          <w:rFonts w:ascii="Verdana" w:hAnsi="Verdana" w:cs="Arial"/>
          <w:i/>
          <w:sz w:val="22"/>
          <w:szCs w:val="22"/>
        </w:rPr>
        <w:t xml:space="preserve">– </w:t>
      </w:r>
      <w:r w:rsidR="00330EEF" w:rsidRPr="007153F9">
        <w:rPr>
          <w:rFonts w:ascii="Verdana" w:hAnsi="Verdana" w:cs="Arial"/>
          <w:i/>
          <w:sz w:val="22"/>
          <w:szCs w:val="22"/>
        </w:rPr>
        <w:t>o ok</w:t>
      </w:r>
      <w:r w:rsidR="008B7C65" w:rsidRPr="007153F9">
        <w:rPr>
          <w:rFonts w:ascii="Verdana" w:hAnsi="Verdana" w:cs="Arial"/>
          <w:i/>
          <w:sz w:val="22"/>
          <w:szCs w:val="22"/>
        </w:rPr>
        <w:t>oło</w:t>
      </w:r>
      <w:r w:rsidR="00330EEF" w:rsidRPr="007153F9">
        <w:rPr>
          <w:rFonts w:ascii="Verdana" w:hAnsi="Verdana" w:cs="Arial"/>
          <w:i/>
          <w:sz w:val="22"/>
          <w:szCs w:val="22"/>
        </w:rPr>
        <w:t xml:space="preserve"> 7%</w:t>
      </w:r>
      <w:r w:rsidR="008B7C65" w:rsidRPr="007153F9">
        <w:rPr>
          <w:rFonts w:ascii="Verdana" w:hAnsi="Verdana" w:cs="Arial"/>
          <w:i/>
          <w:sz w:val="22"/>
          <w:szCs w:val="22"/>
        </w:rPr>
        <w:t>,</w:t>
      </w:r>
      <w:r w:rsidR="00330EEF" w:rsidRPr="007153F9">
        <w:rPr>
          <w:rFonts w:ascii="Verdana" w:hAnsi="Verdana" w:cs="Arial"/>
          <w:i/>
          <w:sz w:val="22"/>
          <w:szCs w:val="22"/>
        </w:rPr>
        <w:t xml:space="preserve"> do 0,94 mln ton. Najbardziej obniży się sprzedaż truskawek, śliwek i wiśni. </w:t>
      </w:r>
      <w:r w:rsidR="00330EEF" w:rsidRPr="007153F9">
        <w:rPr>
          <w:rFonts w:ascii="Verdana" w:hAnsi="Verdana"/>
          <w:i/>
          <w:sz w:val="22"/>
          <w:szCs w:val="22"/>
        </w:rPr>
        <w:t xml:space="preserve">Wartość </w:t>
      </w:r>
      <w:r w:rsidR="00F843C6" w:rsidRPr="007153F9">
        <w:rPr>
          <w:rFonts w:ascii="Verdana" w:hAnsi="Verdana"/>
          <w:i/>
          <w:sz w:val="22"/>
          <w:szCs w:val="22"/>
        </w:rPr>
        <w:t>im</w:t>
      </w:r>
      <w:r w:rsidR="00330EEF" w:rsidRPr="007153F9">
        <w:rPr>
          <w:rFonts w:ascii="Verdana" w:hAnsi="Verdana"/>
          <w:i/>
          <w:sz w:val="22"/>
          <w:szCs w:val="22"/>
        </w:rPr>
        <w:t>por</w:t>
      </w:r>
      <w:r w:rsidR="00254A12">
        <w:rPr>
          <w:rFonts w:ascii="Verdana" w:hAnsi="Verdana"/>
          <w:i/>
          <w:sz w:val="22"/>
          <w:szCs w:val="22"/>
        </w:rPr>
        <w:t>tu owoców i przetworów może być zbliżona do notowanej w 2016 r. i</w:t>
      </w:r>
      <w:r w:rsidR="001B71DA">
        <w:rPr>
          <w:rFonts w:ascii="Verdana" w:hAnsi="Verdana"/>
          <w:i/>
          <w:sz w:val="22"/>
          <w:szCs w:val="22"/>
        </w:rPr>
        <w:t xml:space="preserve"> </w:t>
      </w:r>
      <w:r w:rsidR="00254A12">
        <w:rPr>
          <w:rFonts w:ascii="Verdana" w:hAnsi="Verdana"/>
          <w:i/>
          <w:sz w:val="22"/>
          <w:szCs w:val="22"/>
        </w:rPr>
        <w:t>wyniesie około 1,</w:t>
      </w:r>
      <w:r w:rsidR="00D97E75">
        <w:rPr>
          <w:rFonts w:ascii="Verdana" w:hAnsi="Verdana"/>
          <w:i/>
          <w:sz w:val="22"/>
          <w:szCs w:val="22"/>
        </w:rPr>
        <w:t>7</w:t>
      </w:r>
      <w:r w:rsidR="00330EEF" w:rsidRPr="007153F9">
        <w:rPr>
          <w:rFonts w:ascii="Verdana" w:hAnsi="Verdana"/>
          <w:i/>
          <w:sz w:val="22"/>
          <w:szCs w:val="22"/>
        </w:rPr>
        <w:t xml:space="preserve"> mld euro.</w:t>
      </w:r>
      <w:r w:rsidR="009701E6">
        <w:rPr>
          <w:rFonts w:ascii="Verdana" w:hAnsi="Verdana"/>
          <w:i/>
          <w:sz w:val="22"/>
          <w:szCs w:val="22"/>
        </w:rPr>
        <w:t xml:space="preserve"> </w:t>
      </w:r>
      <w:r w:rsidR="00330EEF" w:rsidRPr="007153F9">
        <w:rPr>
          <w:rFonts w:ascii="Verdana" w:hAnsi="Verdana" w:cs="Arial"/>
          <w:i/>
          <w:sz w:val="22"/>
          <w:szCs w:val="22"/>
        </w:rPr>
        <w:t xml:space="preserve">W 2017 r. </w:t>
      </w:r>
      <w:r w:rsidR="00D97E75">
        <w:rPr>
          <w:rFonts w:ascii="Verdana" w:hAnsi="Verdana" w:cs="Arial"/>
          <w:i/>
          <w:sz w:val="22"/>
          <w:szCs w:val="22"/>
        </w:rPr>
        <w:t xml:space="preserve">ujemne </w:t>
      </w:r>
      <w:r w:rsidR="00330EEF" w:rsidRPr="007153F9">
        <w:rPr>
          <w:rFonts w:ascii="Verdana" w:hAnsi="Verdana" w:cs="Arial"/>
          <w:i/>
          <w:sz w:val="22"/>
          <w:szCs w:val="22"/>
        </w:rPr>
        <w:t xml:space="preserve">saldo handlu zagranicznego </w:t>
      </w:r>
      <w:r w:rsidR="00D97E75">
        <w:rPr>
          <w:rFonts w:ascii="Verdana" w:hAnsi="Verdana" w:cs="Arial"/>
          <w:i/>
          <w:sz w:val="22"/>
          <w:szCs w:val="22"/>
        </w:rPr>
        <w:t>prawdopodobnie ulegnie dalszemu pogłębieniu</w:t>
      </w:r>
      <w:r w:rsidR="00330EEF" w:rsidRPr="007153F9">
        <w:rPr>
          <w:rFonts w:ascii="Verdana" w:hAnsi="Verdana" w:cs="Arial"/>
          <w:i/>
          <w:sz w:val="22"/>
          <w:szCs w:val="22"/>
        </w:rPr>
        <w:t xml:space="preserve">. </w:t>
      </w:r>
    </w:p>
    <w:p w:rsidR="00330EEF" w:rsidRPr="007153F9" w:rsidRDefault="00330EEF" w:rsidP="00D34400">
      <w:pPr>
        <w:spacing w:before="240" w:line="360" w:lineRule="auto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b/>
          <w:sz w:val="22"/>
          <w:szCs w:val="22"/>
        </w:rPr>
        <w:t>Import towarów rolno</w:t>
      </w:r>
      <w:r w:rsidR="00A50932">
        <w:rPr>
          <w:rFonts w:ascii="Verdana" w:hAnsi="Verdana" w:cs="Arial"/>
          <w:b/>
          <w:sz w:val="22"/>
          <w:szCs w:val="22"/>
        </w:rPr>
        <w:t>–</w:t>
      </w:r>
      <w:r w:rsidRPr="007153F9">
        <w:rPr>
          <w:rFonts w:ascii="Verdana" w:hAnsi="Verdana" w:cs="Arial"/>
          <w:b/>
          <w:sz w:val="22"/>
          <w:szCs w:val="22"/>
        </w:rPr>
        <w:t>spożywczych do Polski</w:t>
      </w:r>
    </w:p>
    <w:p w:rsidR="00330EEF" w:rsidRDefault="00330EEF" w:rsidP="00D34400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>Wartość polskiego importu</w:t>
      </w:r>
      <w:r w:rsidRPr="007153F9">
        <w:rPr>
          <w:rStyle w:val="Odwoanieprzypisudolnego"/>
          <w:rFonts w:ascii="Verdana" w:hAnsi="Verdana" w:cs="Arial"/>
          <w:sz w:val="22"/>
          <w:szCs w:val="22"/>
        </w:rPr>
        <w:footnoteReference w:id="12"/>
      </w:r>
      <w:r w:rsidRPr="007153F9">
        <w:rPr>
          <w:rFonts w:ascii="Verdana" w:hAnsi="Verdana" w:cs="Arial"/>
          <w:sz w:val="22"/>
          <w:szCs w:val="22"/>
        </w:rPr>
        <w:t xml:space="preserve"> artykułów rolno</w:t>
      </w:r>
      <w:r w:rsidR="00A50932"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>spożywczych w okresie styczeń–lipiec 2017 r. wyniosła 10,8 mld euro wobec 9,7 mld euro w tym samym okresie 2016 r. (wzrost o 11</w:t>
      </w:r>
      <w:r w:rsidR="009F4077">
        <w:rPr>
          <w:rFonts w:ascii="Verdana" w:hAnsi="Verdana" w:cs="Arial"/>
          <w:sz w:val="22"/>
          <w:szCs w:val="22"/>
        </w:rPr>
        <w:t>,2</w:t>
      </w:r>
      <w:r w:rsidRPr="007153F9">
        <w:rPr>
          <w:rFonts w:ascii="Verdana" w:hAnsi="Verdana" w:cs="Arial"/>
          <w:sz w:val="22"/>
          <w:szCs w:val="22"/>
        </w:rPr>
        <w:t xml:space="preserve">%). Tak jak w przypadku eksportu, najważniejszym partnerem Polski </w:t>
      </w:r>
      <w:r w:rsidR="001A65E9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>w imporcie towarów rolno</w:t>
      </w:r>
      <w:r w:rsidR="00A50932"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>spożywczych jest UE. W okresie siedmiu miesięcy 2017 r. z krajów UE do Polski sprowadzono produkty rolno</w:t>
      </w:r>
      <w:r w:rsidR="00A50932"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 xml:space="preserve">spożywcze o łącznej wartości 8,8 mld euro (wobec 7,9 mld euro w analogicznym okresie 2016 r.). </w:t>
      </w:r>
      <w:r w:rsidR="000374EA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 xml:space="preserve">W ogólnej wartości </w:t>
      </w:r>
      <w:r w:rsidR="009F4077">
        <w:rPr>
          <w:rFonts w:ascii="Verdana" w:hAnsi="Verdana" w:cs="Arial"/>
          <w:sz w:val="22"/>
          <w:szCs w:val="22"/>
        </w:rPr>
        <w:t>importu</w:t>
      </w:r>
      <w:r w:rsidRPr="007153F9">
        <w:rPr>
          <w:rFonts w:ascii="Verdana" w:hAnsi="Verdana" w:cs="Arial"/>
          <w:sz w:val="22"/>
          <w:szCs w:val="22"/>
        </w:rPr>
        <w:t xml:space="preserve"> tych towarów do Polski udział państw członkowskich UE, tak jak w okresie siedmiu miesięcy 2016 r., wyniósł 82%. </w:t>
      </w:r>
    </w:p>
    <w:p w:rsidR="001A65E9" w:rsidRPr="007153F9" w:rsidRDefault="001A65E9" w:rsidP="001A65E9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>Importowane do Polski artykuły rolno</w:t>
      </w:r>
      <w:r w:rsidR="00A50932"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>spożywcze przywożone są głównie z Niemiec. Ich wartość w analizowanym okresie 2017 r. wyniosła 2,7 mld euro, o 18% więcej niż rok wcześniej. Jednocześnie udział Niemiec w wartości całego polskiego importu rolno</w:t>
      </w:r>
      <w:r w:rsidR="00A50932"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 xml:space="preserve">spożywczego zwiększył się </w:t>
      </w:r>
      <w:r w:rsidRPr="007153F9">
        <w:rPr>
          <w:rFonts w:ascii="Verdana" w:hAnsi="Verdana" w:cs="Arial"/>
          <w:spacing w:val="-4"/>
          <w:sz w:val="22"/>
          <w:szCs w:val="22"/>
        </w:rPr>
        <w:t xml:space="preserve">z 23,8% do 25,1%. </w:t>
      </w:r>
      <w:r w:rsidRPr="007153F9">
        <w:rPr>
          <w:rFonts w:ascii="Verdana" w:hAnsi="Verdana" w:cs="Arial"/>
          <w:bCs/>
          <w:spacing w:val="-4"/>
          <w:sz w:val="22"/>
          <w:szCs w:val="22"/>
        </w:rPr>
        <w:t>Znaczący udział w imporcie (12%, zbliżony do notowanego</w:t>
      </w:r>
      <w:r w:rsidRPr="007153F9">
        <w:rPr>
          <w:rFonts w:ascii="Verdana" w:hAnsi="Verdana" w:cs="Arial"/>
          <w:bCs/>
          <w:sz w:val="22"/>
          <w:szCs w:val="22"/>
        </w:rPr>
        <w:t xml:space="preserve"> rok wcześniej) </w:t>
      </w:r>
      <w:r w:rsidRPr="007153F9">
        <w:rPr>
          <w:rFonts w:ascii="Verdana" w:hAnsi="Verdana" w:cs="Arial"/>
          <w:bCs/>
          <w:spacing w:val="-6"/>
          <w:sz w:val="22"/>
          <w:szCs w:val="22"/>
        </w:rPr>
        <w:t>miała również Holandia (1,</w:t>
      </w:r>
      <w:r w:rsidRPr="007153F9">
        <w:rPr>
          <w:rFonts w:ascii="Verdana" w:hAnsi="Verdana" w:cs="Arial"/>
          <w:bCs/>
          <w:sz w:val="22"/>
          <w:szCs w:val="22"/>
        </w:rPr>
        <w:t>3 mld euro). Na dalszych pozycjach pod względem udziału w wartości importu (po około 4–6%) znajdowały się: Hiszpania, Dania (po 0,6 mld euro), Belgia (0,5 mld euro) oraz Argentyna, Francja i Włochy (po 0,4 mld euro).</w:t>
      </w:r>
      <w:r w:rsidRPr="007153F9">
        <w:rPr>
          <w:rFonts w:ascii="Verdana" w:hAnsi="Verdana" w:cs="Arial"/>
          <w:sz w:val="22"/>
          <w:szCs w:val="22"/>
        </w:rPr>
        <w:t xml:space="preserve"> </w:t>
      </w:r>
    </w:p>
    <w:p w:rsidR="00330EEF" w:rsidRPr="007153F9" w:rsidRDefault="00330EEF" w:rsidP="00330EEF">
      <w:pPr>
        <w:spacing w:before="120" w:after="60"/>
        <w:jc w:val="both"/>
        <w:rPr>
          <w:rFonts w:ascii="Verdana" w:hAnsi="Verdana" w:cs="Arial"/>
          <w:b/>
          <w:bCs/>
          <w:spacing w:val="-8"/>
          <w:sz w:val="22"/>
          <w:szCs w:val="22"/>
        </w:rPr>
      </w:pPr>
      <w:r w:rsidRPr="007153F9">
        <w:rPr>
          <w:rFonts w:ascii="Verdana" w:hAnsi="Verdana" w:cs="Arial"/>
          <w:b/>
          <w:bCs/>
          <w:spacing w:val="-8"/>
          <w:sz w:val="22"/>
          <w:szCs w:val="22"/>
        </w:rPr>
        <w:t>Struktura geograficzna importu rolno</w:t>
      </w:r>
      <w:r w:rsidR="00A50932">
        <w:rPr>
          <w:rFonts w:ascii="Verdana" w:hAnsi="Verdana" w:cs="Arial"/>
          <w:b/>
          <w:bCs/>
          <w:spacing w:val="-8"/>
          <w:sz w:val="22"/>
          <w:szCs w:val="22"/>
        </w:rPr>
        <w:t>–</w:t>
      </w:r>
      <w:r w:rsidRPr="007153F9">
        <w:rPr>
          <w:rFonts w:ascii="Verdana" w:hAnsi="Verdana" w:cs="Arial"/>
          <w:b/>
          <w:bCs/>
          <w:spacing w:val="-8"/>
          <w:sz w:val="22"/>
          <w:szCs w:val="22"/>
        </w:rPr>
        <w:t xml:space="preserve">spożywczego do Polski w okresie styczeń–lipiec 2017 r. </w:t>
      </w:r>
    </w:p>
    <w:p w:rsidR="00330EEF" w:rsidRPr="00F935D3" w:rsidRDefault="00330EEF" w:rsidP="00330EEF">
      <w:pPr>
        <w:jc w:val="both"/>
        <w:rPr>
          <w:rFonts w:ascii="Verdana" w:hAnsi="Verdana"/>
          <w:highlight w:val="yellow"/>
        </w:rPr>
      </w:pPr>
      <w:r>
        <w:rPr>
          <w:noProof/>
        </w:rPr>
        <w:drawing>
          <wp:inline distT="0" distB="0" distL="0" distR="0" wp14:anchorId="277180FA" wp14:editId="486DB011">
            <wp:extent cx="5941060" cy="3506779"/>
            <wp:effectExtent l="0" t="0" r="21590" b="1778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30EEF" w:rsidRPr="00F935D3" w:rsidRDefault="00330EEF" w:rsidP="00330EEF">
      <w:pPr>
        <w:jc w:val="both"/>
        <w:rPr>
          <w:rFonts w:ascii="Verdana" w:hAnsi="Verdana" w:cs="Arial"/>
          <w:bCs/>
          <w:sz w:val="20"/>
        </w:rPr>
      </w:pPr>
      <w:r w:rsidRPr="00F935D3">
        <w:rPr>
          <w:rFonts w:ascii="Verdana" w:hAnsi="Verdana" w:cs="Arial"/>
          <w:bCs/>
          <w:sz w:val="20"/>
        </w:rPr>
        <w:t xml:space="preserve">Źródło: </w:t>
      </w:r>
      <w:r w:rsidRPr="00860ED3">
        <w:rPr>
          <w:rFonts w:ascii="Verdana" w:hAnsi="Verdana" w:cs="Arial"/>
          <w:bCs/>
          <w:sz w:val="20"/>
        </w:rPr>
        <w:t>opracowanie Biura Analiz i Strategii Krajowego Ośrodka Wsparcia Rolnictwa na podstaw</w:t>
      </w:r>
      <w:r>
        <w:rPr>
          <w:rFonts w:ascii="Verdana" w:hAnsi="Verdana" w:cs="Arial"/>
          <w:bCs/>
          <w:sz w:val="20"/>
        </w:rPr>
        <w:t>ie wstępnych danych Ministerstwa Finansów</w:t>
      </w:r>
      <w:r w:rsidRPr="00F935D3">
        <w:rPr>
          <w:rFonts w:ascii="Verdana" w:hAnsi="Verdana" w:cs="Arial"/>
          <w:bCs/>
          <w:sz w:val="20"/>
        </w:rPr>
        <w:t>.</w:t>
      </w:r>
    </w:p>
    <w:p w:rsidR="00330EEF" w:rsidRPr="007153F9" w:rsidRDefault="00330EEF" w:rsidP="001A65E9">
      <w:pPr>
        <w:spacing w:before="120" w:line="360" w:lineRule="auto"/>
        <w:jc w:val="both"/>
        <w:rPr>
          <w:rFonts w:ascii="Verdana" w:hAnsi="Verdana" w:cs="Arial"/>
          <w:sz w:val="22"/>
          <w:szCs w:val="22"/>
          <w:highlight w:val="yellow"/>
        </w:rPr>
      </w:pPr>
      <w:r w:rsidRPr="007153F9">
        <w:rPr>
          <w:rFonts w:ascii="Verdana" w:hAnsi="Verdana" w:cs="Arial"/>
          <w:sz w:val="22"/>
          <w:szCs w:val="22"/>
        </w:rPr>
        <w:t>Struktura towarowa importu produktów rolno</w:t>
      </w:r>
      <w:r w:rsidR="00A50932"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>spożywczych do Polski była podobna do notowanej w analogicznym okresie 2016 r. Tak jak w poprzednim roku największy udział miały produkty mięsne, czyli żywiec</w:t>
      </w:r>
      <w:r w:rsidR="00E71DB1">
        <w:rPr>
          <w:rStyle w:val="Odwoanieprzypisudolnego"/>
          <w:rFonts w:ascii="Verdana" w:hAnsi="Verdana" w:cs="Arial"/>
          <w:sz w:val="22"/>
          <w:szCs w:val="22"/>
        </w:rPr>
        <w:footnoteReference w:id="13"/>
      </w:r>
      <w:r w:rsidRPr="007153F9">
        <w:rPr>
          <w:rFonts w:ascii="Verdana" w:hAnsi="Verdana" w:cs="Arial"/>
          <w:sz w:val="22"/>
          <w:szCs w:val="22"/>
        </w:rPr>
        <w:t>, mięso i przetwory (13%). Mniejszy udział miały ryby i przetwory, owoce wraz z przetworami (po 10%), ziarno zbóż łącznie z przetworami (8%), nasiona roślin oleistych i tłuszcze roślinne oraz kawa, herbata i kakao stanowiły po 7% wartości produktów rolno</w:t>
      </w:r>
      <w:r w:rsidR="00A50932"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 xml:space="preserve">spożywczych </w:t>
      </w:r>
      <w:r w:rsidR="00386BC5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 xml:space="preserve">do Polski, a warzywa (w tym grzyby) i przetwory – 6%. </w:t>
      </w:r>
    </w:p>
    <w:p w:rsidR="001A65E9" w:rsidRDefault="001A65E9" w:rsidP="001A65E9">
      <w:pPr>
        <w:spacing w:before="120" w:after="40" w:line="360" w:lineRule="auto"/>
        <w:jc w:val="both"/>
        <w:rPr>
          <w:rFonts w:ascii="Verdana" w:hAnsi="Verdana" w:cs="Arial"/>
          <w:b/>
          <w:bCs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 xml:space="preserve">W okresie styczeń–lipiec 2017 r. największy procentowy wzrost wartości importu wyrażonej w euro, w porównaniu z tym samym okresem 2016 r., odnotowano </w:t>
      </w:r>
      <w:r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 xml:space="preserve">w przypadku importu tłuszczy zwierzęcych (o 44%), nasion roślin oleistych </w:t>
      </w:r>
      <w:r w:rsidR="00386BC5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>(o 34%), zwierząt żywych bez drobiu (o 31%), produktów paszowych innych niż makuchy (o 29%), tłuszczów roślinnych</w:t>
      </w:r>
      <w:r w:rsidRPr="007153F9">
        <w:rPr>
          <w:rFonts w:ascii="Verdana" w:hAnsi="Verdana" w:cs="Arial"/>
          <w:spacing w:val="-4"/>
          <w:sz w:val="22"/>
          <w:szCs w:val="22"/>
        </w:rPr>
        <w:t xml:space="preserve"> i </w:t>
      </w:r>
      <w:r w:rsidRPr="007153F9">
        <w:rPr>
          <w:rFonts w:ascii="Verdana" w:hAnsi="Verdana" w:cs="Arial"/>
          <w:sz w:val="22"/>
          <w:szCs w:val="22"/>
        </w:rPr>
        <w:t xml:space="preserve">ziarna zbóż (po 20%), </w:t>
      </w:r>
      <w:r w:rsidRPr="007153F9">
        <w:rPr>
          <w:rFonts w:ascii="Verdana" w:hAnsi="Verdana" w:cs="Arial"/>
          <w:spacing w:val="-4"/>
          <w:sz w:val="22"/>
          <w:szCs w:val="22"/>
        </w:rPr>
        <w:t>przetworów zbożowo</w:t>
      </w:r>
      <w:r w:rsidR="000374EA">
        <w:rPr>
          <w:rFonts w:ascii="Verdana" w:hAnsi="Verdana" w:cs="Arial"/>
          <w:spacing w:val="-4"/>
          <w:sz w:val="22"/>
          <w:szCs w:val="22"/>
        </w:rPr>
        <w:t>–</w:t>
      </w:r>
      <w:r w:rsidRPr="007153F9">
        <w:rPr>
          <w:rFonts w:ascii="Verdana" w:hAnsi="Verdana" w:cs="Arial"/>
          <w:spacing w:val="-4"/>
          <w:sz w:val="22"/>
          <w:szCs w:val="22"/>
        </w:rPr>
        <w:t>mącznych</w:t>
      </w:r>
      <w:r w:rsidRPr="007153F9">
        <w:rPr>
          <w:rFonts w:ascii="Verdana" w:hAnsi="Verdana" w:cs="Arial"/>
          <w:sz w:val="22"/>
          <w:szCs w:val="22"/>
        </w:rPr>
        <w:t xml:space="preserve"> (o 17%), </w:t>
      </w:r>
      <w:r w:rsidRPr="007153F9">
        <w:rPr>
          <w:rFonts w:ascii="Verdana" w:hAnsi="Verdana" w:cs="Arial"/>
          <w:spacing w:val="-4"/>
          <w:sz w:val="22"/>
          <w:szCs w:val="22"/>
        </w:rPr>
        <w:t>warzyw łącznie z przetworami</w:t>
      </w:r>
      <w:r w:rsidRPr="007153F9">
        <w:rPr>
          <w:rFonts w:ascii="Verdana" w:hAnsi="Verdana" w:cs="Arial"/>
          <w:sz w:val="22"/>
          <w:szCs w:val="22"/>
        </w:rPr>
        <w:t xml:space="preserve"> oraz win, wermutów </w:t>
      </w:r>
      <w:r w:rsidR="00386BC5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>i szampanów (po 14%), mięsa, podrobów i przetworów (bez drobiu</w:t>
      </w:r>
      <w:r w:rsidR="007417A4">
        <w:rPr>
          <w:rFonts w:ascii="Verdana" w:hAnsi="Verdana" w:cs="Arial"/>
          <w:sz w:val="22"/>
          <w:szCs w:val="22"/>
        </w:rPr>
        <w:t>) oraz</w:t>
      </w:r>
      <w:r w:rsidRPr="007153F9">
        <w:rPr>
          <w:rFonts w:ascii="Verdana" w:hAnsi="Verdana" w:cs="Arial"/>
          <w:sz w:val="22"/>
          <w:szCs w:val="22"/>
        </w:rPr>
        <w:t xml:space="preserve"> wyrobów cukierniczych (po 13%). Większa była również wartość </w:t>
      </w:r>
      <w:r w:rsidRPr="007153F9">
        <w:rPr>
          <w:rFonts w:ascii="Verdana" w:hAnsi="Verdana" w:cs="Arial"/>
          <w:spacing w:val="-4"/>
          <w:sz w:val="22"/>
          <w:szCs w:val="22"/>
        </w:rPr>
        <w:t>importu</w:t>
      </w:r>
      <w:r w:rsidRPr="007153F9">
        <w:rPr>
          <w:rFonts w:ascii="Verdana" w:hAnsi="Verdana" w:cs="Arial"/>
          <w:sz w:val="22"/>
          <w:szCs w:val="22"/>
        </w:rPr>
        <w:t xml:space="preserve"> tytoniu, piwa, produktów mleczarskich, owoców i przetworów, mięsa i podrobów z drobiu, ryb </w:t>
      </w:r>
      <w:r w:rsidR="00386BC5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>i przetworów oraz kawy, herbaty i kakao, wyrobów spirytusowych, melasy, makuchów i ryżu. W okresie siedmiu miesięcy 2017 r. najbardziej zmalał import ziemniaków i przetworów. Mniejszy był również przywóz</w:t>
      </w:r>
      <w:r w:rsidRPr="007153F9">
        <w:rPr>
          <w:rFonts w:ascii="Verdana" w:hAnsi="Verdana" w:cs="Arial"/>
          <w:spacing w:val="-4"/>
          <w:sz w:val="22"/>
          <w:szCs w:val="22"/>
        </w:rPr>
        <w:t xml:space="preserve"> soków owocowo</w:t>
      </w:r>
      <w:r w:rsidR="000374EA">
        <w:rPr>
          <w:rFonts w:ascii="Verdana" w:hAnsi="Verdana" w:cs="Arial"/>
          <w:spacing w:val="-4"/>
          <w:sz w:val="22"/>
          <w:szCs w:val="22"/>
        </w:rPr>
        <w:t>–</w:t>
      </w:r>
      <w:r w:rsidR="005E3B59">
        <w:rPr>
          <w:rFonts w:ascii="Verdana" w:hAnsi="Verdana" w:cs="Arial"/>
          <w:spacing w:val="-4"/>
          <w:sz w:val="22"/>
          <w:szCs w:val="22"/>
        </w:rPr>
        <w:br/>
        <w:t>–</w:t>
      </w:r>
      <w:r w:rsidRPr="007153F9">
        <w:rPr>
          <w:rFonts w:ascii="Verdana" w:hAnsi="Verdana" w:cs="Arial"/>
          <w:spacing w:val="-4"/>
          <w:sz w:val="22"/>
          <w:szCs w:val="22"/>
        </w:rPr>
        <w:t xml:space="preserve">warzywnych, </w:t>
      </w:r>
      <w:r w:rsidRPr="007153F9">
        <w:rPr>
          <w:rFonts w:ascii="Verdana" w:hAnsi="Verdana" w:cs="Arial"/>
          <w:sz w:val="22"/>
          <w:szCs w:val="22"/>
        </w:rPr>
        <w:t>skrobi i inuliny, cukru. Pomimo wzrostu wolumenu zmniejszyła się wartość importu żywca drobiowego.</w:t>
      </w:r>
    </w:p>
    <w:p w:rsidR="00330EEF" w:rsidRPr="007153F9" w:rsidRDefault="00330EEF" w:rsidP="001F2156">
      <w:pPr>
        <w:spacing w:before="120" w:after="40"/>
        <w:jc w:val="both"/>
        <w:rPr>
          <w:rFonts w:ascii="Verdana" w:hAnsi="Verdana" w:cs="Arial"/>
          <w:b/>
          <w:bCs/>
          <w:sz w:val="22"/>
          <w:szCs w:val="22"/>
        </w:rPr>
      </w:pPr>
      <w:r w:rsidRPr="007153F9">
        <w:rPr>
          <w:rFonts w:ascii="Verdana" w:hAnsi="Verdana" w:cs="Arial"/>
          <w:b/>
          <w:bCs/>
          <w:sz w:val="22"/>
          <w:szCs w:val="22"/>
        </w:rPr>
        <w:t>Struktura towarowa importu rolno</w:t>
      </w:r>
      <w:r w:rsidR="00A50932">
        <w:rPr>
          <w:rFonts w:ascii="Verdana" w:hAnsi="Verdana" w:cs="Arial"/>
          <w:b/>
          <w:bCs/>
          <w:sz w:val="22"/>
          <w:szCs w:val="22"/>
        </w:rPr>
        <w:t>–</w:t>
      </w:r>
      <w:r w:rsidRPr="007153F9">
        <w:rPr>
          <w:rFonts w:ascii="Verdana" w:hAnsi="Verdana" w:cs="Arial"/>
          <w:b/>
          <w:bCs/>
          <w:sz w:val="22"/>
          <w:szCs w:val="22"/>
        </w:rPr>
        <w:t xml:space="preserve">spożywczego w okresie </w:t>
      </w:r>
      <w:r w:rsidRPr="007153F9">
        <w:rPr>
          <w:rFonts w:ascii="Verdana" w:hAnsi="Verdana" w:cs="Arial"/>
          <w:b/>
          <w:bCs/>
          <w:sz w:val="22"/>
          <w:szCs w:val="22"/>
        </w:rPr>
        <w:br/>
        <w:t xml:space="preserve">styczeń–lipiec 2017 r. </w:t>
      </w:r>
    </w:p>
    <w:p w:rsidR="00330EEF" w:rsidRPr="00A1317B" w:rsidRDefault="00330EEF" w:rsidP="00330EEF">
      <w:pPr>
        <w:jc w:val="both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67A035A2" wp14:editId="08367C98">
            <wp:extent cx="5949537" cy="3990109"/>
            <wp:effectExtent l="57150" t="57150" r="51435" b="48895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30EEF" w:rsidRPr="00A1317B" w:rsidRDefault="00330EEF" w:rsidP="00330EEF">
      <w:pPr>
        <w:spacing w:after="120"/>
        <w:jc w:val="both"/>
        <w:rPr>
          <w:rFonts w:ascii="Verdana" w:hAnsi="Verdana" w:cs="Arial"/>
          <w:bCs/>
          <w:sz w:val="20"/>
        </w:rPr>
      </w:pPr>
      <w:r w:rsidRPr="0060570D">
        <w:rPr>
          <w:rFonts w:ascii="Verdana" w:hAnsi="Verdana" w:cs="Arial"/>
          <w:bCs/>
          <w:sz w:val="20"/>
        </w:rPr>
        <w:t xml:space="preserve">Źródło: opracowanie Biura Analiz i Strategii Krajowego Ośrodka Wsparcia Rolnictwa </w:t>
      </w:r>
      <w:r>
        <w:rPr>
          <w:rFonts w:ascii="Verdana" w:hAnsi="Verdana" w:cs="Arial"/>
          <w:bCs/>
          <w:sz w:val="20"/>
        </w:rPr>
        <w:br/>
      </w:r>
      <w:r w:rsidRPr="0060570D">
        <w:rPr>
          <w:rFonts w:ascii="Verdana" w:hAnsi="Verdana" w:cs="Arial"/>
          <w:bCs/>
          <w:sz w:val="20"/>
        </w:rPr>
        <w:t>na podstawie wstępnych danych Ministerstwa Finansów.</w:t>
      </w:r>
    </w:p>
    <w:p w:rsidR="00330EEF" w:rsidRPr="007153F9" w:rsidRDefault="00330EEF" w:rsidP="00330EEF">
      <w:pPr>
        <w:spacing w:before="120" w:line="360" w:lineRule="auto"/>
        <w:jc w:val="both"/>
        <w:rPr>
          <w:rFonts w:ascii="Verdana" w:hAnsi="Verdana" w:cs="Arial"/>
          <w:i/>
          <w:sz w:val="22"/>
          <w:szCs w:val="22"/>
          <w:highlight w:val="yellow"/>
        </w:rPr>
      </w:pPr>
      <w:r w:rsidRPr="007153F9">
        <w:rPr>
          <w:rFonts w:ascii="Verdana" w:hAnsi="Verdana" w:cs="Arial"/>
          <w:i/>
          <w:sz w:val="22"/>
          <w:szCs w:val="22"/>
        </w:rPr>
        <w:t>IERiGŻ – PIB przewiduje, że w 2017 r. wzrośnie import większości produktów zarówno roślinnych, jak i zwierzęcych, w tym szczególnie żywych zwierząt (trzoda chlewna), produktów mleczarskich, zbóż, alkoholi oraz kawy, herbaty i kakao. Dynamika wzrostu importu będzie jednak znacznie mniejsza niż dynamika wzrostu eksportu.</w:t>
      </w:r>
    </w:p>
    <w:p w:rsidR="00330EEF" w:rsidRPr="007153F9" w:rsidRDefault="00330EEF" w:rsidP="00330EEF">
      <w:pPr>
        <w:spacing w:before="120" w:line="360" w:lineRule="auto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b/>
          <w:sz w:val="22"/>
          <w:szCs w:val="22"/>
        </w:rPr>
        <w:t>Saldo towarów rolno</w:t>
      </w:r>
      <w:r w:rsidR="00A50932">
        <w:rPr>
          <w:rFonts w:ascii="Verdana" w:hAnsi="Verdana" w:cs="Arial"/>
          <w:b/>
          <w:sz w:val="22"/>
          <w:szCs w:val="22"/>
        </w:rPr>
        <w:t>–</w:t>
      </w:r>
      <w:r w:rsidRPr="007153F9">
        <w:rPr>
          <w:rFonts w:ascii="Verdana" w:hAnsi="Verdana" w:cs="Arial"/>
          <w:b/>
          <w:sz w:val="22"/>
          <w:szCs w:val="22"/>
        </w:rPr>
        <w:t>spożywczych do Polski</w:t>
      </w:r>
    </w:p>
    <w:p w:rsidR="001B71DA" w:rsidRDefault="00330EEF" w:rsidP="00330EEF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>Dodatnie saldo polskiego handlu zagranicznego artykułami rolno</w:t>
      </w:r>
      <w:r w:rsidR="00A50932">
        <w:rPr>
          <w:rFonts w:ascii="Verdana" w:hAnsi="Verdana" w:cs="Arial"/>
          <w:sz w:val="22"/>
          <w:szCs w:val="22"/>
        </w:rPr>
        <w:t>–</w:t>
      </w:r>
      <w:r w:rsidRPr="007153F9">
        <w:rPr>
          <w:rFonts w:ascii="Verdana" w:hAnsi="Verdana" w:cs="Arial"/>
          <w:sz w:val="22"/>
          <w:szCs w:val="22"/>
        </w:rPr>
        <w:t xml:space="preserve">spożywczymi </w:t>
      </w:r>
      <w:r w:rsidR="001A65E9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 xml:space="preserve">w okresie styczeń–lipiec 2017 r. osiągnęło poziom 4,1 mld euro (o 5% wyższy niż </w:t>
      </w:r>
      <w:r w:rsidR="001A65E9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 xml:space="preserve">w tym samym okresie 2016 r.). </w:t>
      </w:r>
    </w:p>
    <w:p w:rsidR="00330EEF" w:rsidRPr="007153F9" w:rsidRDefault="00330EEF" w:rsidP="00330EEF">
      <w:pPr>
        <w:spacing w:before="120" w:after="60"/>
        <w:jc w:val="both"/>
        <w:rPr>
          <w:rFonts w:ascii="Verdana" w:hAnsi="Verdana" w:cs="Arial"/>
          <w:b/>
          <w:bCs/>
          <w:spacing w:val="-6"/>
          <w:sz w:val="22"/>
          <w:szCs w:val="22"/>
        </w:rPr>
      </w:pPr>
      <w:r w:rsidRPr="007153F9">
        <w:rPr>
          <w:rFonts w:ascii="Verdana" w:hAnsi="Verdana" w:cs="Arial"/>
          <w:b/>
          <w:bCs/>
          <w:spacing w:val="-6"/>
          <w:sz w:val="22"/>
          <w:szCs w:val="22"/>
        </w:rPr>
        <w:t>Saldo handlu zagranicznego wybranymi produktami rolno</w:t>
      </w:r>
      <w:r w:rsidR="0038590C">
        <w:rPr>
          <w:rFonts w:ascii="Verdana" w:hAnsi="Verdana" w:cs="Arial"/>
          <w:b/>
          <w:bCs/>
          <w:spacing w:val="-6"/>
          <w:sz w:val="22"/>
          <w:szCs w:val="22"/>
        </w:rPr>
        <w:t>–</w:t>
      </w:r>
      <w:r w:rsidRPr="007153F9">
        <w:rPr>
          <w:rFonts w:ascii="Verdana" w:hAnsi="Verdana" w:cs="Arial"/>
          <w:b/>
          <w:bCs/>
          <w:spacing w:val="-6"/>
          <w:sz w:val="22"/>
          <w:szCs w:val="22"/>
        </w:rPr>
        <w:t xml:space="preserve">spożywczymi </w:t>
      </w:r>
      <w:r w:rsidR="001A65E9">
        <w:rPr>
          <w:rFonts w:ascii="Verdana" w:hAnsi="Verdana" w:cs="Arial"/>
          <w:b/>
          <w:bCs/>
          <w:spacing w:val="-6"/>
          <w:sz w:val="22"/>
          <w:szCs w:val="22"/>
        </w:rPr>
        <w:br/>
      </w:r>
      <w:r w:rsidRPr="007153F9">
        <w:rPr>
          <w:rFonts w:ascii="Verdana" w:hAnsi="Verdana" w:cs="Arial"/>
          <w:b/>
          <w:bCs/>
          <w:spacing w:val="-6"/>
          <w:sz w:val="22"/>
          <w:szCs w:val="22"/>
        </w:rPr>
        <w:t xml:space="preserve">w okresie styczeń–lipiec w latach 2016 i 2017 </w:t>
      </w:r>
    </w:p>
    <w:p w:rsidR="00330EEF" w:rsidRPr="00F935D3" w:rsidRDefault="00330EEF" w:rsidP="00330EEF">
      <w:pPr>
        <w:spacing w:before="120" w:after="60"/>
        <w:jc w:val="both"/>
        <w:rPr>
          <w:rFonts w:ascii="Verdana" w:hAnsi="Verdana" w:cs="Arial"/>
          <w:b/>
          <w:bCs/>
        </w:rPr>
      </w:pPr>
      <w:r w:rsidRPr="001F31AA">
        <w:rPr>
          <w:rFonts w:ascii="Verdana" w:hAnsi="Verdana"/>
          <w:noProof/>
          <w:sz w:val="16"/>
          <w:szCs w:val="16"/>
        </w:rPr>
        <w:drawing>
          <wp:inline distT="0" distB="0" distL="0" distR="0" wp14:anchorId="1467F5D0" wp14:editId="734DD8EB">
            <wp:extent cx="5975498" cy="5528931"/>
            <wp:effectExtent l="0" t="0" r="25400" b="1524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30EEF" w:rsidRPr="00F935D3" w:rsidRDefault="00330EEF" w:rsidP="00330EEF">
      <w:pPr>
        <w:spacing w:after="120"/>
        <w:jc w:val="both"/>
        <w:rPr>
          <w:rFonts w:ascii="Verdana" w:hAnsi="Verdana" w:cs="Arial"/>
          <w:bCs/>
          <w:sz w:val="20"/>
        </w:rPr>
      </w:pPr>
      <w:r w:rsidRPr="00F935D3">
        <w:rPr>
          <w:rFonts w:ascii="Verdana" w:hAnsi="Verdana" w:cs="Arial"/>
          <w:bCs/>
          <w:spacing w:val="-2"/>
          <w:sz w:val="20"/>
        </w:rPr>
        <w:t xml:space="preserve">Źródło: opracowanie </w:t>
      </w:r>
      <w:r>
        <w:rPr>
          <w:rFonts w:ascii="Verdana" w:hAnsi="Verdana" w:cs="Arial"/>
          <w:bCs/>
          <w:spacing w:val="-2"/>
          <w:sz w:val="20"/>
        </w:rPr>
        <w:t>Biura Analiz i Strategii Krajowego Ośrodka Wsparcia Rolnictwa</w:t>
      </w:r>
      <w:r>
        <w:rPr>
          <w:rFonts w:ascii="Verdana" w:hAnsi="Verdana" w:cs="Arial"/>
          <w:bCs/>
          <w:spacing w:val="-2"/>
          <w:sz w:val="20"/>
        </w:rPr>
        <w:br/>
      </w:r>
      <w:r w:rsidRPr="00F935D3">
        <w:rPr>
          <w:rFonts w:ascii="Verdana" w:hAnsi="Verdana" w:cs="Arial"/>
          <w:bCs/>
          <w:spacing w:val="-2"/>
          <w:sz w:val="20"/>
        </w:rPr>
        <w:t xml:space="preserve">na podstawie danych Ministerstwa Finansów, 2017 r. </w:t>
      </w:r>
      <w:r>
        <w:rPr>
          <w:rFonts w:ascii="Verdana" w:hAnsi="Verdana" w:cs="Arial"/>
          <w:bCs/>
          <w:spacing w:val="-2"/>
          <w:sz w:val="20"/>
        </w:rPr>
        <w:t>dane wstępne</w:t>
      </w:r>
      <w:r w:rsidRPr="00F935D3">
        <w:rPr>
          <w:rFonts w:ascii="Verdana" w:hAnsi="Verdana" w:cs="Arial"/>
          <w:bCs/>
          <w:sz w:val="20"/>
        </w:rPr>
        <w:t>.</w:t>
      </w:r>
    </w:p>
    <w:p w:rsidR="001B71DA" w:rsidRDefault="001B71DA" w:rsidP="001B71DA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7153F9">
        <w:rPr>
          <w:rFonts w:ascii="Verdana" w:hAnsi="Verdana" w:cs="Arial"/>
          <w:sz w:val="22"/>
          <w:szCs w:val="22"/>
        </w:rPr>
        <w:t>Największe dodatnie saldo w analizowanym okresie 2017 r. uzyskano w polskim handlu zagranicznym</w:t>
      </w:r>
      <w:r w:rsidRPr="007153F9">
        <w:rPr>
          <w:rFonts w:ascii="Verdana" w:hAnsi="Verdana" w:cs="Arial"/>
          <w:spacing w:val="-4"/>
          <w:sz w:val="22"/>
          <w:szCs w:val="22"/>
        </w:rPr>
        <w:t xml:space="preserve"> tytoniem i wyrobami tytoniowymi (1,18 mld euro), mięsem czerwonym </w:t>
      </w:r>
      <w:r w:rsidRPr="007153F9">
        <w:rPr>
          <w:rFonts w:ascii="Verdana" w:hAnsi="Verdana" w:cs="Arial"/>
          <w:sz w:val="22"/>
          <w:szCs w:val="22"/>
        </w:rPr>
        <w:t>(1,08 mld euro)</w:t>
      </w:r>
      <w:r w:rsidRPr="007153F9">
        <w:rPr>
          <w:rFonts w:ascii="Verdana" w:hAnsi="Verdana" w:cs="Arial"/>
          <w:spacing w:val="-4"/>
          <w:sz w:val="22"/>
          <w:szCs w:val="22"/>
        </w:rPr>
        <w:t xml:space="preserve"> i drobiowym (0,99 mld euro) </w:t>
      </w:r>
      <w:r w:rsidRPr="007153F9">
        <w:rPr>
          <w:rFonts w:ascii="Verdana" w:hAnsi="Verdana" w:cs="Arial"/>
          <w:sz w:val="22"/>
          <w:szCs w:val="22"/>
        </w:rPr>
        <w:t>oraz</w:t>
      </w:r>
      <w:r w:rsidRPr="007153F9">
        <w:rPr>
          <w:rFonts w:ascii="Verdana" w:hAnsi="Verdana" w:cs="Arial"/>
          <w:spacing w:val="-4"/>
          <w:sz w:val="22"/>
          <w:szCs w:val="22"/>
        </w:rPr>
        <w:t xml:space="preserve"> </w:t>
      </w:r>
      <w:r>
        <w:rPr>
          <w:rFonts w:ascii="Verdana" w:hAnsi="Verdana" w:cs="Arial"/>
          <w:sz w:val="22"/>
          <w:szCs w:val="22"/>
        </w:rPr>
        <w:t>przetworami zbożowo–</w:t>
      </w:r>
      <w:r w:rsidRPr="007153F9">
        <w:rPr>
          <w:rFonts w:ascii="Verdana" w:hAnsi="Verdana" w:cs="Arial"/>
          <w:sz w:val="22"/>
          <w:szCs w:val="22"/>
        </w:rPr>
        <w:t>mącznymi (0,82 mld euro).</w:t>
      </w:r>
      <w:r w:rsidRPr="001B71DA">
        <w:rPr>
          <w:rFonts w:ascii="Verdana" w:hAnsi="Verdana" w:cs="Arial"/>
          <w:sz w:val="22"/>
          <w:szCs w:val="22"/>
        </w:rPr>
        <w:t xml:space="preserve"> </w:t>
      </w:r>
      <w:r w:rsidRPr="007153F9">
        <w:rPr>
          <w:rFonts w:ascii="Verdana" w:hAnsi="Verdana" w:cs="Arial"/>
          <w:sz w:val="22"/>
          <w:szCs w:val="22"/>
        </w:rPr>
        <w:t xml:space="preserve">Znaczną nadwyżkę uzyskano także </w:t>
      </w:r>
      <w:r w:rsidR="001924BE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>w przypadku produktów mleczarskich, wyr</w:t>
      </w:r>
      <w:r w:rsidR="001924BE">
        <w:rPr>
          <w:rFonts w:ascii="Verdana" w:hAnsi="Verdana" w:cs="Arial"/>
          <w:sz w:val="22"/>
          <w:szCs w:val="22"/>
        </w:rPr>
        <w:t>obów cukierniczych, ziarna zbóż</w:t>
      </w:r>
      <w:r w:rsidRPr="007153F9">
        <w:rPr>
          <w:rFonts w:ascii="Verdana" w:hAnsi="Verdana" w:cs="Arial"/>
          <w:sz w:val="22"/>
          <w:szCs w:val="22"/>
        </w:rPr>
        <w:t xml:space="preserve"> </w:t>
      </w:r>
      <w:r w:rsidR="001924BE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>oraz warzyw (łącznie z przetworami).</w:t>
      </w:r>
      <w:r w:rsidR="001924BE">
        <w:rPr>
          <w:rFonts w:ascii="Verdana" w:hAnsi="Verdana" w:cs="Arial"/>
          <w:sz w:val="22"/>
          <w:szCs w:val="22"/>
        </w:rPr>
        <w:t xml:space="preserve"> </w:t>
      </w:r>
      <w:r w:rsidRPr="007153F9">
        <w:rPr>
          <w:rFonts w:ascii="Verdana" w:hAnsi="Verdana" w:cs="Arial"/>
          <w:sz w:val="22"/>
          <w:szCs w:val="22"/>
        </w:rPr>
        <w:t xml:space="preserve">W przypadku produktów mleczarskich dodatnie saldo obrotów uległo znacznemu zwiększeniu w porównaniu </w:t>
      </w:r>
      <w:r w:rsidR="001924BE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 xml:space="preserve">z analizowanym okresem 2016 r. (z 410 mln euro do 707 mln euro). Dodatnie saldo odnotowano również w handlu zagranicznym sokami owocowymi i warzywnymi, cukrem, produktami paszowymi, piwem, tłuszczami zwierzęcymi, skrobią </w:t>
      </w:r>
      <w:r w:rsidR="001924BE">
        <w:rPr>
          <w:rFonts w:ascii="Verdana" w:hAnsi="Verdana" w:cs="Arial"/>
          <w:sz w:val="22"/>
          <w:szCs w:val="22"/>
        </w:rPr>
        <w:br/>
      </w:r>
      <w:r w:rsidRPr="007153F9">
        <w:rPr>
          <w:rFonts w:ascii="Verdana" w:hAnsi="Verdana" w:cs="Arial"/>
          <w:sz w:val="22"/>
          <w:szCs w:val="22"/>
        </w:rPr>
        <w:t>oraz melasą.</w:t>
      </w:r>
    </w:p>
    <w:p w:rsidR="001B71DA" w:rsidRPr="007153F9" w:rsidRDefault="001B71DA" w:rsidP="001B71DA">
      <w:pPr>
        <w:spacing w:line="360" w:lineRule="auto"/>
        <w:jc w:val="both"/>
        <w:rPr>
          <w:rFonts w:ascii="Verdana" w:hAnsi="Verdana" w:cs="Arial"/>
          <w:sz w:val="22"/>
          <w:szCs w:val="22"/>
          <w:highlight w:val="yellow"/>
        </w:rPr>
      </w:pPr>
      <w:r w:rsidRPr="007153F9">
        <w:rPr>
          <w:rFonts w:ascii="Verdana" w:hAnsi="Verdana" w:cs="Arial"/>
          <w:sz w:val="22"/>
          <w:szCs w:val="22"/>
        </w:rPr>
        <w:t>W okresie siedmiu miesięcy 2017 r. największy deficyt wystąpił w polskim handlu zagranicznym makuchami, żywymi zwierzętami, tłuszczami roślinnymi, kawą, herbatą i kakao, owocami i przetworami, nasionami roślin oleistych oraz winem. Mniejszy deficyt odnotowano w handlu rybami, ryżem, wyrobami spirytusowymi oraz ziemniakami i ich przetworami.</w:t>
      </w:r>
    </w:p>
    <w:p w:rsidR="001B71DA" w:rsidRDefault="001B71DA" w:rsidP="001B71DA">
      <w:pPr>
        <w:spacing w:line="360" w:lineRule="auto"/>
        <w:jc w:val="both"/>
        <w:rPr>
          <w:rFonts w:ascii="Verdana" w:hAnsi="Verdana" w:cs="Arial"/>
          <w:i/>
          <w:sz w:val="22"/>
          <w:szCs w:val="22"/>
        </w:rPr>
      </w:pPr>
      <w:r w:rsidRPr="007153F9">
        <w:rPr>
          <w:rFonts w:ascii="Verdana" w:hAnsi="Verdana" w:cs="Arial"/>
          <w:i/>
          <w:sz w:val="22"/>
          <w:szCs w:val="22"/>
        </w:rPr>
        <w:t xml:space="preserve">W 2017 r. przewidywane jest pogłębienie ujemnego salda handlu produktami, które od lat wykazują największy deficyt, a więc żywymi zwierzętami, kawą, herbatą </w:t>
      </w:r>
      <w:r>
        <w:rPr>
          <w:rFonts w:ascii="Verdana" w:hAnsi="Verdana" w:cs="Arial"/>
          <w:i/>
          <w:sz w:val="22"/>
          <w:szCs w:val="22"/>
        </w:rPr>
        <w:br/>
      </w:r>
      <w:r w:rsidRPr="007153F9">
        <w:rPr>
          <w:rFonts w:ascii="Verdana" w:hAnsi="Verdana" w:cs="Arial"/>
          <w:i/>
          <w:sz w:val="22"/>
          <w:szCs w:val="22"/>
        </w:rPr>
        <w:t xml:space="preserve">i kakao, a także owocami świeżymi i warzywami łącznie z przetworami warzywnymi oraz alkoholami. Zmniejszenie ujemnego salda obrotów może wystąpić </w:t>
      </w:r>
      <w:r>
        <w:rPr>
          <w:rFonts w:ascii="Verdana" w:hAnsi="Verdana" w:cs="Arial"/>
          <w:i/>
          <w:sz w:val="22"/>
          <w:szCs w:val="22"/>
        </w:rPr>
        <w:br/>
      </w:r>
      <w:r w:rsidR="00DD66F2">
        <w:rPr>
          <w:rFonts w:ascii="Verdana" w:hAnsi="Verdana" w:cs="Arial"/>
          <w:i/>
          <w:sz w:val="22"/>
          <w:szCs w:val="22"/>
        </w:rPr>
        <w:t>w przypadku ryb.</w:t>
      </w:r>
    </w:p>
    <w:p w:rsidR="001B71DA" w:rsidRPr="007153F9" w:rsidRDefault="001B71DA" w:rsidP="001B71DA">
      <w:pPr>
        <w:spacing w:line="360" w:lineRule="auto"/>
        <w:jc w:val="both"/>
        <w:rPr>
          <w:rFonts w:ascii="Verdana" w:hAnsi="Verdana" w:cs="Arial"/>
          <w:i/>
          <w:sz w:val="22"/>
          <w:szCs w:val="22"/>
        </w:rPr>
      </w:pPr>
      <w:r w:rsidRPr="007153F9">
        <w:rPr>
          <w:rFonts w:ascii="Verdana" w:hAnsi="Verdana" w:cs="Arial"/>
          <w:i/>
          <w:sz w:val="22"/>
          <w:szCs w:val="22"/>
        </w:rPr>
        <w:t>Wzrost dodatniego salda jest przewidywany w przypadku mięsa drobiowego, produktów mleczarskich, cukru, tytoniu i papierosów oraz wód i napojów orzeźwiających. Zmniejszeniu może ulec dodatnie saldo handlu ziarnem zbóż, przetworami zbożowymi i wyrobami cukierniczymi.</w:t>
      </w:r>
    </w:p>
    <w:p w:rsidR="00330EEF" w:rsidRPr="00C564A0" w:rsidRDefault="00330EEF" w:rsidP="00F02D5A">
      <w:pPr>
        <w:spacing w:line="360" w:lineRule="auto"/>
        <w:jc w:val="center"/>
        <w:rPr>
          <w:rFonts w:ascii="Verdana" w:hAnsi="Verdana" w:cs="Arial"/>
          <w:b/>
          <w:spacing w:val="-4"/>
        </w:rPr>
      </w:pPr>
    </w:p>
    <w:sectPr w:rsidR="00330EEF" w:rsidRPr="00C564A0" w:rsidSect="0063382A">
      <w:headerReference w:type="even" r:id="rId24"/>
      <w:headerReference w:type="default" r:id="rId25"/>
      <w:footerReference w:type="even" r:id="rId26"/>
      <w:footerReference w:type="default" r:id="rId27"/>
      <w:footerReference w:type="first" r:id="rId28"/>
      <w:pgSz w:w="11906" w:h="16838"/>
      <w:pgMar w:top="899" w:right="1417" w:bottom="1417" w:left="1134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D41" w:rsidRDefault="00D72D41" w:rsidP="00CC4AC6">
      <w:r>
        <w:separator/>
      </w:r>
    </w:p>
  </w:endnote>
  <w:endnote w:type="continuationSeparator" w:id="0">
    <w:p w:rsidR="00D72D41" w:rsidRDefault="00D72D41" w:rsidP="00CC4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witzerCndTTEF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8094919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D35E97" w:rsidRPr="0073600A" w:rsidRDefault="00D35E97" w:rsidP="004523C5">
        <w:pPr>
          <w:pStyle w:val="Stopka"/>
          <w:jc w:val="center"/>
          <w:rPr>
            <w:rFonts w:ascii="Arial" w:hAnsi="Arial" w:cs="Arial"/>
          </w:rPr>
        </w:pPr>
        <w:r w:rsidRPr="0073600A">
          <w:rPr>
            <w:rFonts w:ascii="Arial" w:hAnsi="Arial" w:cs="Arial"/>
          </w:rPr>
          <w:fldChar w:fldCharType="begin"/>
        </w:r>
        <w:r w:rsidRPr="0073600A">
          <w:rPr>
            <w:rFonts w:ascii="Arial" w:hAnsi="Arial" w:cs="Arial"/>
          </w:rPr>
          <w:instrText>PAGE   \* MERGEFORMAT</w:instrText>
        </w:r>
        <w:r w:rsidRPr="0073600A">
          <w:rPr>
            <w:rFonts w:ascii="Arial" w:hAnsi="Arial" w:cs="Arial"/>
          </w:rPr>
          <w:fldChar w:fldCharType="separate"/>
        </w:r>
        <w:r w:rsidR="00096B0D">
          <w:rPr>
            <w:rFonts w:ascii="Arial" w:hAnsi="Arial" w:cs="Arial"/>
            <w:noProof/>
          </w:rPr>
          <w:t>2</w:t>
        </w:r>
        <w:r w:rsidRPr="0073600A">
          <w:rPr>
            <w:rFonts w:ascii="Arial" w:hAnsi="Arial" w:cs="Arial"/>
          </w:rPr>
          <w:fldChar w:fldCharType="end"/>
        </w:r>
      </w:p>
    </w:sdtContent>
  </w:sdt>
  <w:p w:rsidR="00D35E97" w:rsidRDefault="00D35E9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595411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D35E97" w:rsidRPr="004523C5" w:rsidRDefault="00D35E97">
        <w:pPr>
          <w:pStyle w:val="Stopka"/>
          <w:jc w:val="center"/>
          <w:rPr>
            <w:rFonts w:ascii="Arial" w:hAnsi="Arial" w:cs="Arial"/>
          </w:rPr>
        </w:pPr>
        <w:r w:rsidRPr="004523C5">
          <w:rPr>
            <w:rFonts w:ascii="Arial" w:hAnsi="Arial" w:cs="Arial"/>
          </w:rPr>
          <w:fldChar w:fldCharType="begin"/>
        </w:r>
        <w:r w:rsidRPr="004523C5">
          <w:rPr>
            <w:rFonts w:ascii="Arial" w:hAnsi="Arial" w:cs="Arial"/>
          </w:rPr>
          <w:instrText>PAGE   \* MERGEFORMAT</w:instrText>
        </w:r>
        <w:r w:rsidRPr="004523C5">
          <w:rPr>
            <w:rFonts w:ascii="Arial" w:hAnsi="Arial" w:cs="Arial"/>
          </w:rPr>
          <w:fldChar w:fldCharType="separate"/>
        </w:r>
        <w:r w:rsidR="00096B0D">
          <w:rPr>
            <w:rFonts w:ascii="Arial" w:hAnsi="Arial" w:cs="Arial"/>
            <w:noProof/>
          </w:rPr>
          <w:t>3</w:t>
        </w:r>
        <w:r w:rsidRPr="004523C5">
          <w:rPr>
            <w:rFonts w:ascii="Arial" w:hAnsi="Arial" w:cs="Arial"/>
          </w:rPr>
          <w:fldChar w:fldCharType="end"/>
        </w:r>
      </w:p>
    </w:sdtContent>
  </w:sdt>
  <w:p w:rsidR="00D35E97" w:rsidRDefault="00D35E9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E97" w:rsidRPr="007004B6" w:rsidRDefault="00D35E97" w:rsidP="00755D13">
    <w:pPr>
      <w:pStyle w:val="Stopka"/>
      <w:tabs>
        <w:tab w:val="clear" w:pos="9072"/>
      </w:tabs>
      <w:jc w:val="center"/>
      <w:rPr>
        <w:rFonts w:ascii="Verdana" w:hAnsi="Verdana"/>
        <w:sz w:val="20"/>
        <w:szCs w:val="20"/>
      </w:rPr>
    </w:pPr>
    <w:r w:rsidRPr="007004B6">
      <w:rPr>
        <w:rFonts w:ascii="Verdana" w:hAnsi="Verdana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CEAED57" wp14:editId="7B9FD9E6">
          <wp:simplePos x="0" y="0"/>
          <wp:positionH relativeFrom="column">
            <wp:posOffset>433070</wp:posOffset>
          </wp:positionH>
          <wp:positionV relativeFrom="paragraph">
            <wp:posOffset>16510</wp:posOffset>
          </wp:positionV>
          <wp:extent cx="6407150" cy="445135"/>
          <wp:effectExtent l="0" t="0" r="0" b="0"/>
          <wp:wrapSquare wrapText="bothSides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715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04B6">
      <w:rPr>
        <w:rFonts w:ascii="Verdana" w:hAnsi="Verdana"/>
        <w:sz w:val="20"/>
        <w:szCs w:val="20"/>
      </w:rPr>
      <w:t xml:space="preserve">01-207 Warszawa, ul. Karolkowa 30, </w:t>
    </w:r>
    <w:hyperlink r:id="rId2" w:history="1">
      <w:r w:rsidRPr="007004B6">
        <w:rPr>
          <w:rStyle w:val="Hipercze"/>
          <w:rFonts w:ascii="Verdana" w:hAnsi="Verdana"/>
          <w:color w:val="auto"/>
          <w:sz w:val="20"/>
          <w:szCs w:val="20"/>
        </w:rPr>
        <w:t>www.kowr.gov.pl</w:t>
      </w:r>
    </w:hyperlink>
  </w:p>
  <w:p w:rsidR="00D35E97" w:rsidRPr="00755D13" w:rsidRDefault="00D35E97" w:rsidP="00755D13">
    <w:pPr>
      <w:pStyle w:val="Stopka"/>
      <w:tabs>
        <w:tab w:val="clear" w:pos="9072"/>
      </w:tabs>
      <w:jc w:val="center"/>
      <w:rPr>
        <w:rFonts w:ascii="Verdana" w:hAnsi="Verdana"/>
      </w:rPr>
    </w:pPr>
    <w:r w:rsidRPr="00755D13">
      <w:rPr>
        <w:rFonts w:ascii="Verdana" w:hAnsi="Verdana"/>
        <w:noProof/>
      </w:rPr>
      <w:drawing>
        <wp:anchor distT="0" distB="0" distL="114300" distR="114300" simplePos="0" relativeHeight="251659264" behindDoc="0" locked="0" layoutInCell="1" allowOverlap="1" wp14:anchorId="3E774EB5" wp14:editId="02133CDD">
          <wp:simplePos x="0" y="0"/>
          <wp:positionH relativeFrom="margin">
            <wp:posOffset>1229995</wp:posOffset>
          </wp:positionH>
          <wp:positionV relativeFrom="margin">
            <wp:posOffset>10084435</wp:posOffset>
          </wp:positionV>
          <wp:extent cx="6400800" cy="436880"/>
          <wp:effectExtent l="0" t="0" r="0" b="1270"/>
          <wp:wrapSquare wrapText="bothSides"/>
          <wp:docPr id="99" name="Obraz 99" descr="element graficzny_papier 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lement graficzny_papier firmow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5D13">
      <w:rPr>
        <w:rFonts w:ascii="Verdana" w:hAnsi="Verdana"/>
        <w:noProof/>
      </w:rPr>
      <w:drawing>
        <wp:anchor distT="0" distB="0" distL="114300" distR="114300" simplePos="0" relativeHeight="251658240" behindDoc="0" locked="0" layoutInCell="1" allowOverlap="1" wp14:anchorId="3712AC39" wp14:editId="6265DA8D">
          <wp:simplePos x="0" y="0"/>
          <wp:positionH relativeFrom="margin">
            <wp:posOffset>1229995</wp:posOffset>
          </wp:positionH>
          <wp:positionV relativeFrom="margin">
            <wp:posOffset>10084435</wp:posOffset>
          </wp:positionV>
          <wp:extent cx="6400800" cy="436880"/>
          <wp:effectExtent l="0" t="0" r="0" b="1270"/>
          <wp:wrapSquare wrapText="bothSides"/>
          <wp:docPr id="100" name="Obraz 100" descr="element graficzny_papier 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lement graficzny_papier firmow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D41" w:rsidRDefault="00D72D41" w:rsidP="00CC4AC6">
      <w:r>
        <w:separator/>
      </w:r>
    </w:p>
  </w:footnote>
  <w:footnote w:type="continuationSeparator" w:id="0">
    <w:p w:rsidR="00D72D41" w:rsidRDefault="00D72D41" w:rsidP="00CC4AC6">
      <w:r>
        <w:continuationSeparator/>
      </w:r>
    </w:p>
  </w:footnote>
  <w:footnote w:id="1">
    <w:p w:rsidR="00330EEF" w:rsidRPr="00307E5C" w:rsidRDefault="00330EEF" w:rsidP="001A65E9">
      <w:pPr>
        <w:pStyle w:val="Tekstprzypisudolnego"/>
        <w:tabs>
          <w:tab w:val="left" w:pos="0"/>
        </w:tabs>
        <w:jc w:val="both"/>
        <w:rPr>
          <w:rFonts w:ascii="Arial" w:hAnsi="Arial" w:cs="Arial"/>
        </w:rPr>
      </w:pPr>
      <w:r w:rsidRPr="00307E5C">
        <w:rPr>
          <w:rStyle w:val="Odwoanieprzypisudolnego"/>
          <w:rFonts w:ascii="Arial" w:hAnsi="Arial" w:cs="Arial"/>
        </w:rPr>
        <w:footnoteRef/>
      </w:r>
      <w:r w:rsidRPr="00307E5C">
        <w:rPr>
          <w:rFonts w:ascii="Arial" w:hAnsi="Arial" w:cs="Arial"/>
        </w:rPr>
        <w:t xml:space="preserve"> </w:t>
      </w:r>
      <w:r w:rsidR="007B2193">
        <w:rPr>
          <w:rFonts w:ascii="Verdana" w:hAnsi="Verdana" w:cs="Arial"/>
        </w:rPr>
        <w:t>W analizie</w:t>
      </w:r>
      <w:r w:rsidRPr="00D26BEA">
        <w:rPr>
          <w:rFonts w:ascii="Verdana" w:hAnsi="Verdana" w:cs="Arial"/>
        </w:rPr>
        <w:t xml:space="preserve"> wykorzystano obliczenia Biura Analiz i Strategii Krajowego Ośrodka Wsparcia Rolnictwa na podstawie danych Ministerstwa Finansów</w:t>
      </w:r>
      <w:r>
        <w:rPr>
          <w:rFonts w:ascii="Verdana" w:hAnsi="Verdana" w:cs="Arial"/>
        </w:rPr>
        <w:t xml:space="preserve">, </w:t>
      </w:r>
      <w:r w:rsidRPr="00F935D3">
        <w:rPr>
          <w:rFonts w:ascii="Verdana" w:hAnsi="Verdana" w:cs="Arial"/>
          <w:bCs/>
        </w:rPr>
        <w:t>rok 201</w:t>
      </w:r>
      <w:r>
        <w:rPr>
          <w:rFonts w:ascii="Verdana" w:hAnsi="Verdana" w:cs="Arial"/>
          <w:bCs/>
        </w:rPr>
        <w:t>7</w:t>
      </w:r>
      <w:r w:rsidRPr="00F935D3">
        <w:rPr>
          <w:rFonts w:ascii="Verdana" w:hAnsi="Verdana" w:cs="Arial"/>
          <w:bCs/>
        </w:rPr>
        <w:t xml:space="preserve"> – dane wstępne</w:t>
      </w:r>
      <w:r w:rsidRPr="00D26BEA">
        <w:rPr>
          <w:rFonts w:ascii="Verdana" w:hAnsi="Verdana" w:cs="Arial"/>
        </w:rPr>
        <w:t>; tonaż wyrażono w masie produktu.</w:t>
      </w:r>
    </w:p>
  </w:footnote>
  <w:footnote w:id="2">
    <w:p w:rsidR="00330EEF" w:rsidRPr="004D732D" w:rsidRDefault="00330EEF" w:rsidP="00330EEF">
      <w:pPr>
        <w:pStyle w:val="Tekstprzypisudolnego"/>
        <w:rPr>
          <w:rFonts w:ascii="Arial" w:hAnsi="Arial" w:cs="Arial"/>
          <w:lang w:val="en-US"/>
        </w:rPr>
      </w:pPr>
      <w:r w:rsidRPr="002E00FC">
        <w:rPr>
          <w:rStyle w:val="Odwoanieprzypisudolnego"/>
          <w:rFonts w:ascii="Arial" w:hAnsi="Arial" w:cs="Arial"/>
        </w:rPr>
        <w:footnoteRef/>
      </w:r>
      <w:r w:rsidRPr="004D732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Ł</w:t>
      </w:r>
      <w:r w:rsidRPr="004D732D">
        <w:rPr>
          <w:rFonts w:ascii="Arial" w:hAnsi="Arial" w:cs="Arial"/>
          <w:lang w:val="en-US"/>
        </w:rPr>
        <w:t>ącznie z przetworami</w:t>
      </w:r>
      <w:r>
        <w:rPr>
          <w:rFonts w:ascii="Arial" w:hAnsi="Arial" w:cs="Arial"/>
          <w:lang w:val="en-US"/>
        </w:rPr>
        <w:t>.</w:t>
      </w:r>
    </w:p>
  </w:footnote>
  <w:footnote w:id="3">
    <w:p w:rsidR="00330EEF" w:rsidRPr="004D732D" w:rsidRDefault="00330EEF" w:rsidP="00330EEF">
      <w:pPr>
        <w:pStyle w:val="Tekstprzypisudolnego"/>
        <w:jc w:val="both"/>
        <w:rPr>
          <w:rFonts w:ascii="Arial" w:hAnsi="Arial" w:cs="Arial"/>
          <w:lang w:val="en-US"/>
        </w:rPr>
      </w:pPr>
      <w:r w:rsidRPr="00036AD8">
        <w:rPr>
          <w:rStyle w:val="Odwoanieprzypisudolnego"/>
          <w:rFonts w:ascii="Arial" w:hAnsi="Arial" w:cs="Arial"/>
        </w:rPr>
        <w:footnoteRef/>
      </w:r>
      <w:r w:rsidRPr="004D732D">
        <w:rPr>
          <w:rFonts w:ascii="Arial" w:hAnsi="Arial" w:cs="Arial"/>
          <w:lang w:val="en-US"/>
        </w:rPr>
        <w:t xml:space="preserve"> Livestock and Poultry: World Markets and Trade, USDA FAS, April 2017</w:t>
      </w:r>
      <w:r>
        <w:rPr>
          <w:rFonts w:ascii="Arial" w:hAnsi="Arial" w:cs="Arial"/>
          <w:lang w:val="en-US"/>
        </w:rPr>
        <w:t>;</w:t>
      </w:r>
      <w:r w:rsidRPr="004D732D">
        <w:rPr>
          <w:rFonts w:ascii="Arial" w:hAnsi="Arial" w:cs="Arial"/>
          <w:lang w:val="en-US"/>
        </w:rPr>
        <w:t xml:space="preserve"> </w:t>
      </w:r>
    </w:p>
  </w:footnote>
  <w:footnote w:id="4">
    <w:p w:rsidR="00BC09F0" w:rsidRPr="008A5918" w:rsidRDefault="00BC09F0">
      <w:pPr>
        <w:pStyle w:val="Tekstprzypisudolnego"/>
        <w:rPr>
          <w:rFonts w:ascii="Arial" w:hAnsi="Arial" w:cs="Arial"/>
        </w:rPr>
      </w:pPr>
      <w:r w:rsidRPr="008A5918">
        <w:rPr>
          <w:rStyle w:val="Odwoanieprzypisudolnego"/>
          <w:rFonts w:ascii="Arial" w:hAnsi="Arial" w:cs="Arial"/>
        </w:rPr>
        <w:footnoteRef/>
      </w:r>
      <w:r w:rsidRPr="008A5918">
        <w:rPr>
          <w:rFonts w:ascii="Arial" w:hAnsi="Arial" w:cs="Arial"/>
        </w:rPr>
        <w:t xml:space="preserve"> Highly Pathogenic Avian Influenza (wysoce zjadliwa grypa ptaków).</w:t>
      </w:r>
    </w:p>
  </w:footnote>
  <w:footnote w:id="5">
    <w:p w:rsidR="00520E97" w:rsidRPr="00B143E5" w:rsidRDefault="00520E97" w:rsidP="00520E97">
      <w:pPr>
        <w:pStyle w:val="Tekstprzypisudolnego"/>
        <w:jc w:val="both"/>
        <w:rPr>
          <w:rFonts w:ascii="Arial" w:hAnsi="Arial" w:cs="Arial"/>
        </w:rPr>
      </w:pPr>
      <w:r w:rsidRPr="00B143E5">
        <w:rPr>
          <w:rStyle w:val="Odwoanieprzypisudolnego"/>
          <w:rFonts w:ascii="Arial" w:hAnsi="Arial" w:cs="Arial"/>
        </w:rPr>
        <w:footnoteRef/>
      </w:r>
      <w:r w:rsidRPr="00B143E5">
        <w:rPr>
          <w:rFonts w:ascii="Arial" w:hAnsi="Arial" w:cs="Arial"/>
        </w:rPr>
        <w:t xml:space="preserve"> Kraje poza państwami UE i WNP.</w:t>
      </w:r>
    </w:p>
  </w:footnote>
  <w:footnote w:id="6">
    <w:p w:rsidR="00330EEF" w:rsidRPr="004F50A6" w:rsidRDefault="00330EEF" w:rsidP="00330EEF">
      <w:pPr>
        <w:pStyle w:val="Tekstprzypisudolnego"/>
        <w:jc w:val="both"/>
        <w:rPr>
          <w:rFonts w:ascii="Arial" w:hAnsi="Arial" w:cs="Arial"/>
        </w:rPr>
      </w:pPr>
      <w:r w:rsidRPr="004F50A6">
        <w:rPr>
          <w:rStyle w:val="Odwoanieprzypisudolnego"/>
          <w:rFonts w:ascii="Arial" w:hAnsi="Arial" w:cs="Arial"/>
        </w:rPr>
        <w:footnoteRef/>
      </w:r>
      <w:r w:rsidRPr="004F50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Pr="004F50A6">
        <w:rPr>
          <w:rFonts w:ascii="Arial" w:hAnsi="Arial" w:cs="Arial"/>
        </w:rPr>
        <w:t xml:space="preserve">rzetwory </w:t>
      </w:r>
      <w:r>
        <w:rPr>
          <w:rFonts w:ascii="Arial" w:hAnsi="Arial" w:cs="Arial"/>
        </w:rPr>
        <w:t>mięsne</w:t>
      </w:r>
      <w:r w:rsidRPr="004F50A6">
        <w:rPr>
          <w:rFonts w:ascii="Arial" w:hAnsi="Arial" w:cs="Arial"/>
        </w:rPr>
        <w:t xml:space="preserve"> określone kodami CN </w:t>
      </w:r>
      <w:r w:rsidRPr="00A60CAD">
        <w:rPr>
          <w:rFonts w:ascii="Arial" w:hAnsi="Arial" w:cs="Arial"/>
        </w:rPr>
        <w:t>0210, 1601–1603</w:t>
      </w:r>
      <w:r>
        <w:rPr>
          <w:rFonts w:ascii="Arial" w:hAnsi="Arial" w:cs="Arial"/>
        </w:rPr>
        <w:t>.</w:t>
      </w:r>
    </w:p>
  </w:footnote>
  <w:footnote w:id="7">
    <w:p w:rsidR="00330EEF" w:rsidRPr="004F50A6" w:rsidRDefault="00330EEF" w:rsidP="00330EEF">
      <w:pPr>
        <w:pStyle w:val="Tekstprzypisudolnego"/>
        <w:jc w:val="both"/>
        <w:rPr>
          <w:rFonts w:ascii="Arial" w:hAnsi="Arial" w:cs="Arial"/>
        </w:rPr>
      </w:pPr>
      <w:r w:rsidRPr="00A60CAD">
        <w:rPr>
          <w:rFonts w:ascii="Arial" w:hAnsi="Arial" w:cs="Arial"/>
          <w:vertAlign w:val="superscript"/>
        </w:rPr>
        <w:footnoteRef/>
      </w:r>
      <w:r w:rsidRPr="00A60CAD"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>B</w:t>
      </w:r>
      <w:r w:rsidRPr="004F50A6">
        <w:rPr>
          <w:rFonts w:ascii="Arial" w:hAnsi="Arial" w:cs="Arial"/>
        </w:rPr>
        <w:t>ez ryżu</w:t>
      </w:r>
      <w:r>
        <w:rPr>
          <w:rFonts w:ascii="Arial" w:hAnsi="Arial" w:cs="Arial"/>
        </w:rPr>
        <w:t>.</w:t>
      </w:r>
    </w:p>
  </w:footnote>
  <w:footnote w:id="8">
    <w:p w:rsidR="00330EEF" w:rsidRPr="004F50A6" w:rsidRDefault="00330EEF" w:rsidP="00330EEF">
      <w:pPr>
        <w:pStyle w:val="Tekstprzypisudolnego"/>
        <w:jc w:val="both"/>
        <w:rPr>
          <w:rFonts w:ascii="Arial" w:hAnsi="Arial" w:cs="Arial"/>
        </w:rPr>
      </w:pPr>
      <w:r w:rsidRPr="004F50A6">
        <w:rPr>
          <w:rStyle w:val="Odwoanieprzypisudolnego"/>
          <w:rFonts w:ascii="Arial" w:hAnsi="Arial" w:cs="Arial"/>
        </w:rPr>
        <w:footnoteRef/>
      </w:r>
      <w:r w:rsidRPr="004F50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Pr="004F50A6">
        <w:rPr>
          <w:rFonts w:ascii="Arial" w:hAnsi="Arial" w:cs="Arial"/>
        </w:rPr>
        <w:t>rzetwory zbożowe określone kodami CN 1101</w:t>
      </w:r>
      <w:r>
        <w:rPr>
          <w:rFonts w:ascii="Arial" w:hAnsi="Arial" w:cs="Arial"/>
        </w:rPr>
        <w:t>–</w:t>
      </w:r>
      <w:r w:rsidRPr="004F50A6">
        <w:rPr>
          <w:rFonts w:ascii="Arial" w:hAnsi="Arial" w:cs="Arial"/>
        </w:rPr>
        <w:t>1104, 1107, 1109, 1901</w:t>
      </w:r>
      <w:r>
        <w:rPr>
          <w:rFonts w:ascii="Arial" w:hAnsi="Arial" w:cs="Arial"/>
        </w:rPr>
        <w:t>–</w:t>
      </w:r>
      <w:r w:rsidRPr="004F50A6">
        <w:rPr>
          <w:rFonts w:ascii="Arial" w:hAnsi="Arial" w:cs="Arial"/>
        </w:rPr>
        <w:t>1905</w:t>
      </w:r>
      <w:r>
        <w:rPr>
          <w:rFonts w:ascii="Arial" w:hAnsi="Arial" w:cs="Arial"/>
        </w:rPr>
        <w:t>.</w:t>
      </w:r>
    </w:p>
  </w:footnote>
  <w:footnote w:id="9">
    <w:p w:rsidR="00330EEF" w:rsidRDefault="00330EEF" w:rsidP="00330EEF">
      <w:pPr>
        <w:pStyle w:val="Tekstprzypisudolnego"/>
      </w:pPr>
      <w:r w:rsidRPr="00E72ACE">
        <w:rPr>
          <w:rStyle w:val="Odwoanieprzypisudolnego"/>
          <w:rFonts w:ascii="Arial" w:hAnsi="Arial" w:cs="Arial"/>
        </w:rPr>
        <w:footnoteRef/>
      </w:r>
      <w:r w:rsidRPr="00E72ACE"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6"/>
          <w:szCs w:val="24"/>
        </w:rPr>
        <w:t>Ł</w:t>
      </w:r>
      <w:r w:rsidRPr="00D85D4B">
        <w:rPr>
          <w:rFonts w:ascii="Arial" w:hAnsi="Arial" w:cs="Arial"/>
          <w:spacing w:val="-6"/>
          <w:szCs w:val="24"/>
        </w:rPr>
        <w:t>ącznie z grzybami</w:t>
      </w:r>
      <w:r>
        <w:rPr>
          <w:rFonts w:ascii="Arial" w:hAnsi="Arial" w:cs="Arial"/>
          <w:spacing w:val="-6"/>
          <w:szCs w:val="24"/>
        </w:rPr>
        <w:t>.</w:t>
      </w:r>
    </w:p>
  </w:footnote>
  <w:footnote w:id="10">
    <w:p w:rsidR="00330EEF" w:rsidRDefault="00330EEF" w:rsidP="00330EEF">
      <w:pPr>
        <w:pStyle w:val="Tekstprzypisudolnego"/>
      </w:pPr>
      <w:r w:rsidRPr="00314022">
        <w:rPr>
          <w:rStyle w:val="Odwoanieprzypisudolnego"/>
          <w:rFonts w:ascii="Arial" w:hAnsi="Arial" w:cs="Arial"/>
        </w:rPr>
        <w:footnoteRef/>
      </w:r>
      <w:r w:rsidRPr="00314022">
        <w:rPr>
          <w:rFonts w:ascii="Arial" w:hAnsi="Arial" w:cs="Arial"/>
        </w:rPr>
        <w:t xml:space="preserve"> </w:t>
      </w:r>
      <w:r w:rsidRPr="00314022">
        <w:rPr>
          <w:rFonts w:ascii="Arial" w:hAnsi="Arial" w:cs="Arial"/>
          <w:spacing w:val="-6"/>
          <w:szCs w:val="24"/>
        </w:rPr>
        <w:t>Łącznie z grzybami.</w:t>
      </w:r>
    </w:p>
  </w:footnote>
  <w:footnote w:id="11">
    <w:p w:rsidR="00330EEF" w:rsidRDefault="00330EEF" w:rsidP="00330EEF">
      <w:pPr>
        <w:pStyle w:val="Tekstprzypisudolnego"/>
      </w:pPr>
      <w:r w:rsidRPr="00E72ACE">
        <w:rPr>
          <w:rStyle w:val="Odwoanieprzypisudolnego"/>
          <w:rFonts w:ascii="Arial" w:hAnsi="Arial" w:cs="Arial"/>
        </w:rPr>
        <w:footnoteRef/>
      </w:r>
      <w:r w:rsidRPr="00E72ACE">
        <w:rPr>
          <w:rFonts w:ascii="Arial" w:hAnsi="Arial" w:cs="Arial"/>
        </w:rPr>
        <w:t xml:space="preserve"> </w:t>
      </w:r>
      <w:r>
        <w:rPr>
          <w:rFonts w:ascii="Arial" w:hAnsi="Arial" w:cs="Arial"/>
          <w:szCs w:val="24"/>
        </w:rPr>
        <w:t>Ł</w:t>
      </w:r>
      <w:r w:rsidRPr="00D85D4B">
        <w:rPr>
          <w:rFonts w:ascii="Arial" w:hAnsi="Arial" w:cs="Arial"/>
          <w:szCs w:val="24"/>
        </w:rPr>
        <w:t>ącznie z orzechami</w:t>
      </w:r>
      <w:r>
        <w:rPr>
          <w:rFonts w:ascii="Arial" w:hAnsi="Arial" w:cs="Arial"/>
          <w:szCs w:val="24"/>
        </w:rPr>
        <w:t>.</w:t>
      </w:r>
    </w:p>
  </w:footnote>
  <w:footnote w:id="12">
    <w:p w:rsidR="00330EEF" w:rsidRPr="00E71DB1" w:rsidRDefault="00330EEF" w:rsidP="00330EEF">
      <w:pPr>
        <w:pStyle w:val="Tekstprzypisudolnego"/>
        <w:jc w:val="both"/>
        <w:rPr>
          <w:rFonts w:ascii="Verdana" w:hAnsi="Verdana" w:cs="Arial"/>
        </w:rPr>
      </w:pPr>
      <w:r w:rsidRPr="00E71DB1">
        <w:rPr>
          <w:rStyle w:val="Odwoanieprzypisudolnego"/>
          <w:rFonts w:ascii="Verdana" w:hAnsi="Verdana" w:cs="Arial"/>
        </w:rPr>
        <w:footnoteRef/>
      </w:r>
      <w:r w:rsidRPr="00E71DB1">
        <w:rPr>
          <w:rFonts w:ascii="Verdana" w:hAnsi="Verdana" w:cs="Arial"/>
        </w:rPr>
        <w:t xml:space="preserve"> W odniesieniu do poszczególnych krajów i ugrupowań import policzono według kraju wysyłki.</w:t>
      </w:r>
    </w:p>
  </w:footnote>
  <w:footnote w:id="13">
    <w:p w:rsidR="00E71DB1" w:rsidRPr="00E71DB1" w:rsidRDefault="00E71DB1" w:rsidP="00E71DB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E71DB1">
        <w:rPr>
          <w:rFonts w:ascii="Verdana" w:hAnsi="Verdana" w:cs="Arial"/>
        </w:rPr>
        <w:t xml:space="preserve">W okresie 7 miesięcy 2017 r. do Polski przywieziono 3,7 mln sztuk trzody chlewnej, o 2% więcej niż przed rokiem. Import prosiąt i warchlaków – podobnie jak rok wcześniej – wyniósł 3,1 mln sztuk, a trzody chlewnej hodowlanej – 485 tys. sztuk, o 28% więcej. </w:t>
      </w:r>
      <w:r w:rsidRPr="00E71DB1">
        <w:rPr>
          <w:rFonts w:ascii="Verdana" w:hAnsi="Verdana" w:cs="Arial"/>
          <w:bCs/>
        </w:rPr>
        <w:t>Żywiec przywożono w 80% z Danii, a niewielkie ilości z Niemiec, Holandii i Litwy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47"/>
      <w:gridCol w:w="4748"/>
    </w:tblGrid>
    <w:tr w:rsidR="00D35E97" w:rsidTr="00C93DE8">
      <w:tc>
        <w:tcPr>
          <w:tcW w:w="4747" w:type="dxa"/>
        </w:tcPr>
        <w:p w:rsidR="00D35E97" w:rsidRPr="0071729F" w:rsidRDefault="0071729F" w:rsidP="0071729F">
          <w:pPr>
            <w:pStyle w:val="Nagwek"/>
            <w:tabs>
              <w:tab w:val="clear" w:pos="4536"/>
              <w:tab w:val="center" w:pos="5103"/>
            </w:tabs>
            <w:rPr>
              <w:i/>
              <w:sz w:val="18"/>
              <w:szCs w:val="18"/>
            </w:rPr>
          </w:pPr>
          <w:r w:rsidRPr="0071729F">
            <w:rPr>
              <w:rFonts w:ascii="Verdana" w:hAnsi="Verdana" w:cs="Arial"/>
              <w:sz w:val="18"/>
              <w:szCs w:val="18"/>
            </w:rPr>
            <w:t xml:space="preserve">Informacja dotycząca </w:t>
          </w:r>
          <w:r w:rsidR="00D35E97" w:rsidRPr="0071729F">
            <w:rPr>
              <w:rFonts w:ascii="Verdana" w:hAnsi="Verdana" w:cs="Arial"/>
              <w:sz w:val="18"/>
              <w:szCs w:val="18"/>
            </w:rPr>
            <w:t xml:space="preserve">handlu zagranicznego </w:t>
          </w:r>
          <w:r w:rsidRPr="0071729F">
            <w:rPr>
              <w:rFonts w:ascii="Verdana" w:hAnsi="Verdana" w:cs="Arial"/>
              <w:sz w:val="18"/>
              <w:szCs w:val="18"/>
            </w:rPr>
            <w:br/>
          </w:r>
          <w:r w:rsidR="00D35E97" w:rsidRPr="0071729F">
            <w:rPr>
              <w:rFonts w:ascii="Verdana" w:hAnsi="Verdana" w:cs="Arial"/>
              <w:spacing w:val="-6"/>
              <w:sz w:val="18"/>
              <w:szCs w:val="18"/>
            </w:rPr>
            <w:t xml:space="preserve">towarami </w:t>
          </w:r>
          <w:r w:rsidR="005F6E31" w:rsidRPr="0071729F">
            <w:rPr>
              <w:rFonts w:ascii="Verdana" w:hAnsi="Verdana" w:cs="Arial"/>
              <w:spacing w:val="-6"/>
              <w:sz w:val="18"/>
              <w:szCs w:val="18"/>
            </w:rPr>
            <w:t>r</w:t>
          </w:r>
          <w:r w:rsidR="00D35E97" w:rsidRPr="0071729F">
            <w:rPr>
              <w:rFonts w:ascii="Verdana" w:hAnsi="Verdana" w:cs="Arial"/>
              <w:spacing w:val="-6"/>
              <w:sz w:val="18"/>
              <w:szCs w:val="18"/>
            </w:rPr>
            <w:t>olno</w:t>
          </w:r>
          <w:r w:rsidR="005F6E31" w:rsidRPr="0071729F">
            <w:rPr>
              <w:rFonts w:ascii="Verdana" w:hAnsi="Verdana" w:cs="Arial"/>
              <w:spacing w:val="-6"/>
              <w:sz w:val="18"/>
              <w:szCs w:val="18"/>
            </w:rPr>
            <w:t>–</w:t>
          </w:r>
          <w:r w:rsidR="00D35E97" w:rsidRPr="0071729F">
            <w:rPr>
              <w:rFonts w:ascii="Verdana" w:hAnsi="Verdana" w:cs="Arial"/>
              <w:spacing w:val="-6"/>
              <w:sz w:val="18"/>
              <w:szCs w:val="18"/>
            </w:rPr>
            <w:t>spożywczymi w</w:t>
          </w:r>
          <w:r w:rsidR="00330EEF" w:rsidRPr="0071729F">
            <w:rPr>
              <w:rFonts w:ascii="Verdana" w:hAnsi="Verdana" w:cs="Arial"/>
              <w:spacing w:val="-6"/>
              <w:sz w:val="18"/>
              <w:szCs w:val="18"/>
            </w:rPr>
            <w:t xml:space="preserve"> okresie I-VII </w:t>
          </w:r>
          <w:r w:rsidR="00D35E97" w:rsidRPr="0071729F">
            <w:rPr>
              <w:rFonts w:ascii="Verdana" w:hAnsi="Verdana" w:cs="Arial"/>
              <w:spacing w:val="-6"/>
              <w:sz w:val="18"/>
              <w:szCs w:val="18"/>
            </w:rPr>
            <w:t>201</w:t>
          </w:r>
          <w:r w:rsidR="00330EEF" w:rsidRPr="0071729F">
            <w:rPr>
              <w:rFonts w:ascii="Verdana" w:hAnsi="Verdana" w:cs="Arial"/>
              <w:spacing w:val="-6"/>
              <w:sz w:val="18"/>
              <w:szCs w:val="18"/>
            </w:rPr>
            <w:t>7</w:t>
          </w:r>
          <w:r w:rsidR="00D35E97" w:rsidRPr="0071729F">
            <w:rPr>
              <w:rFonts w:ascii="Verdana" w:hAnsi="Verdana" w:cs="Arial"/>
              <w:spacing w:val="-6"/>
              <w:sz w:val="18"/>
              <w:szCs w:val="18"/>
            </w:rPr>
            <w:t xml:space="preserve"> r.</w:t>
          </w:r>
          <w:r w:rsidRPr="0071729F">
            <w:rPr>
              <w:rFonts w:ascii="Verdana" w:hAnsi="Verdana" w:cs="Arial"/>
              <w:sz w:val="18"/>
              <w:szCs w:val="18"/>
            </w:rPr>
            <w:t xml:space="preserve"> </w:t>
          </w:r>
          <w:r w:rsidRPr="0071729F">
            <w:rPr>
              <w:rFonts w:ascii="Verdana" w:hAnsi="Verdana" w:cs="Arial"/>
              <w:sz w:val="18"/>
              <w:szCs w:val="18"/>
            </w:rPr>
            <w:br/>
          </w:r>
          <w:r w:rsidR="00F66EAF" w:rsidRPr="0071729F">
            <w:rPr>
              <w:rFonts w:ascii="Verdana" w:hAnsi="Verdana" w:cs="Arial"/>
              <w:sz w:val="18"/>
              <w:szCs w:val="18"/>
            </w:rPr>
            <w:t>z elementami prognozy na</w:t>
          </w:r>
          <w:r w:rsidRPr="0071729F">
            <w:rPr>
              <w:rFonts w:ascii="Verdana" w:hAnsi="Verdana" w:cs="Arial"/>
              <w:sz w:val="18"/>
              <w:szCs w:val="18"/>
            </w:rPr>
            <w:t xml:space="preserve"> cały </w:t>
          </w:r>
          <w:r w:rsidR="00F66EAF" w:rsidRPr="0071729F">
            <w:rPr>
              <w:rFonts w:ascii="Verdana" w:hAnsi="Verdana" w:cs="Arial"/>
              <w:sz w:val="18"/>
              <w:szCs w:val="18"/>
            </w:rPr>
            <w:t>2017 r.</w:t>
          </w:r>
          <w:r w:rsidR="00D35E97" w:rsidRPr="0071729F">
            <w:rPr>
              <w:rFonts w:ascii="Verdana" w:hAnsi="Verdana" w:cs="Arial"/>
              <w:sz w:val="18"/>
              <w:szCs w:val="18"/>
            </w:rPr>
            <w:t xml:space="preserve"> </w:t>
          </w:r>
        </w:p>
      </w:tc>
      <w:tc>
        <w:tcPr>
          <w:tcW w:w="4748" w:type="dxa"/>
        </w:tcPr>
        <w:p w:rsidR="00D35E97" w:rsidRPr="0071729F" w:rsidRDefault="000840E1" w:rsidP="00C93DE8">
          <w:pPr>
            <w:pStyle w:val="Nagwek"/>
            <w:jc w:val="right"/>
            <w:rPr>
              <w:i/>
              <w:sz w:val="16"/>
              <w:szCs w:val="16"/>
            </w:rPr>
          </w:pPr>
          <w:r w:rsidRPr="0071729F">
            <w:rPr>
              <w:i/>
              <w:noProof/>
              <w:sz w:val="16"/>
              <w:szCs w:val="16"/>
            </w:rPr>
            <w:drawing>
              <wp:inline distT="0" distB="0" distL="0" distR="0" wp14:anchorId="066677A0" wp14:editId="2407F6EA">
                <wp:extent cx="845000" cy="504000"/>
                <wp:effectExtent l="0" t="0" r="0" b="0"/>
                <wp:docPr id="96" name="Obraz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000" cy="50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D35E97" w:rsidRPr="00C93DE8" w:rsidRDefault="00D35E97" w:rsidP="00C93DE8">
    <w:pPr>
      <w:pStyle w:val="Nagwek"/>
      <w:spacing w:after="200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47"/>
      <w:gridCol w:w="4748"/>
    </w:tblGrid>
    <w:tr w:rsidR="00D35E97" w:rsidRPr="00FC6487" w:rsidTr="00C93DE8">
      <w:tc>
        <w:tcPr>
          <w:tcW w:w="4747" w:type="dxa"/>
        </w:tcPr>
        <w:p w:rsidR="00D35E97" w:rsidRDefault="00D35E97" w:rsidP="00243301">
          <w:pPr>
            <w:pStyle w:val="Nagwek"/>
            <w:spacing w:after="200"/>
            <w:rPr>
              <w:i/>
            </w:rPr>
          </w:pPr>
          <w:r>
            <w:rPr>
              <w:i/>
              <w:noProof/>
            </w:rPr>
            <w:drawing>
              <wp:inline distT="0" distB="0" distL="0" distR="0" wp14:anchorId="609834EA" wp14:editId="4A32E0E7">
                <wp:extent cx="845000" cy="504000"/>
                <wp:effectExtent l="0" t="0" r="0" b="0"/>
                <wp:docPr id="97" name="Obraz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000" cy="50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48" w:type="dxa"/>
        </w:tcPr>
        <w:p w:rsidR="00D35E97" w:rsidRPr="0071729F" w:rsidRDefault="0071729F" w:rsidP="0071729F">
          <w:pPr>
            <w:pStyle w:val="Nagwek"/>
            <w:jc w:val="right"/>
            <w:rPr>
              <w:rFonts w:ascii="Verdana" w:hAnsi="Verdana" w:cs="Arial"/>
              <w:sz w:val="18"/>
              <w:szCs w:val="18"/>
            </w:rPr>
          </w:pPr>
          <w:r>
            <w:rPr>
              <w:rFonts w:ascii="Verdana" w:hAnsi="Verdana" w:cs="Arial"/>
              <w:sz w:val="18"/>
              <w:szCs w:val="18"/>
            </w:rPr>
            <w:t>Informacja dotycząca</w:t>
          </w:r>
          <w:r w:rsidR="00D35E97" w:rsidRPr="0071729F">
            <w:rPr>
              <w:rFonts w:ascii="Verdana" w:hAnsi="Verdana" w:cs="Arial"/>
              <w:sz w:val="18"/>
              <w:szCs w:val="18"/>
            </w:rPr>
            <w:t xml:space="preserve"> handl</w:t>
          </w:r>
          <w:r w:rsidR="005F6E31" w:rsidRPr="0071729F">
            <w:rPr>
              <w:rFonts w:ascii="Verdana" w:hAnsi="Verdana" w:cs="Arial"/>
              <w:sz w:val="18"/>
              <w:szCs w:val="18"/>
            </w:rPr>
            <w:t xml:space="preserve">u zagranicznego </w:t>
          </w:r>
          <w:r w:rsidR="005F6E31" w:rsidRPr="0071729F">
            <w:rPr>
              <w:rFonts w:ascii="Verdana" w:hAnsi="Verdana" w:cs="Arial"/>
              <w:spacing w:val="-6"/>
              <w:sz w:val="18"/>
              <w:szCs w:val="18"/>
            </w:rPr>
            <w:t>towarami</w:t>
          </w:r>
          <w:r w:rsidRPr="0071729F">
            <w:rPr>
              <w:rFonts w:ascii="Verdana" w:hAnsi="Verdana" w:cs="Arial"/>
              <w:spacing w:val="-6"/>
              <w:sz w:val="18"/>
              <w:szCs w:val="18"/>
            </w:rPr>
            <w:t xml:space="preserve"> </w:t>
          </w:r>
          <w:r w:rsidR="005F6E31" w:rsidRPr="0071729F">
            <w:rPr>
              <w:rFonts w:ascii="Verdana" w:hAnsi="Verdana" w:cs="Arial"/>
              <w:spacing w:val="-6"/>
              <w:sz w:val="18"/>
              <w:szCs w:val="18"/>
            </w:rPr>
            <w:t>rolno–</w:t>
          </w:r>
          <w:r w:rsidR="00D35E97" w:rsidRPr="0071729F">
            <w:rPr>
              <w:rFonts w:ascii="Verdana" w:hAnsi="Verdana" w:cs="Arial"/>
              <w:spacing w:val="-6"/>
              <w:sz w:val="18"/>
              <w:szCs w:val="18"/>
            </w:rPr>
            <w:t xml:space="preserve">spożywczymi </w:t>
          </w:r>
          <w:r w:rsidR="00330EEF" w:rsidRPr="0071729F">
            <w:rPr>
              <w:rFonts w:ascii="Verdana" w:hAnsi="Verdana" w:cs="Arial"/>
              <w:spacing w:val="-6"/>
              <w:sz w:val="18"/>
              <w:szCs w:val="18"/>
            </w:rPr>
            <w:t xml:space="preserve">w okresie I-VII 2017 </w:t>
          </w:r>
          <w:r w:rsidR="00D35E97" w:rsidRPr="0071729F">
            <w:rPr>
              <w:rFonts w:ascii="Verdana" w:hAnsi="Verdana" w:cs="Arial"/>
              <w:spacing w:val="-6"/>
              <w:sz w:val="18"/>
              <w:szCs w:val="18"/>
            </w:rPr>
            <w:t>r.</w:t>
          </w:r>
          <w:r w:rsidR="00F66EAF" w:rsidRPr="0071729F">
            <w:rPr>
              <w:rFonts w:ascii="Verdana" w:hAnsi="Verdana" w:cs="Arial"/>
              <w:sz w:val="18"/>
              <w:szCs w:val="18"/>
            </w:rPr>
            <w:br/>
            <w:t>z elementami prognozy na</w:t>
          </w:r>
          <w:r>
            <w:rPr>
              <w:rFonts w:ascii="Verdana" w:hAnsi="Verdana" w:cs="Arial"/>
              <w:sz w:val="18"/>
              <w:szCs w:val="18"/>
            </w:rPr>
            <w:t xml:space="preserve"> cały </w:t>
          </w:r>
          <w:r w:rsidR="00F66EAF" w:rsidRPr="0071729F">
            <w:rPr>
              <w:rFonts w:ascii="Verdana" w:hAnsi="Verdana" w:cs="Arial"/>
              <w:sz w:val="18"/>
              <w:szCs w:val="18"/>
            </w:rPr>
            <w:t>2017 r.</w:t>
          </w:r>
          <w:r w:rsidR="00D35E97" w:rsidRPr="0071729F">
            <w:rPr>
              <w:rFonts w:ascii="Verdana" w:hAnsi="Verdana" w:cs="Arial"/>
              <w:sz w:val="18"/>
              <w:szCs w:val="18"/>
            </w:rPr>
            <w:t xml:space="preserve"> </w:t>
          </w:r>
        </w:p>
      </w:tc>
    </w:tr>
  </w:tbl>
  <w:p w:rsidR="00D35E97" w:rsidRPr="00243301" w:rsidRDefault="00D35E97" w:rsidP="00AA07C5">
    <w:pPr>
      <w:pStyle w:val="Nagwek"/>
      <w:rPr>
        <w:i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A5B77"/>
    <w:multiLevelType w:val="hybridMultilevel"/>
    <w:tmpl w:val="48B8363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1064A8C"/>
    <w:multiLevelType w:val="hybridMultilevel"/>
    <w:tmpl w:val="2398F43A"/>
    <w:lvl w:ilvl="0" w:tplc="EB62C5B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CAE1EB6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A1AC4B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2DAD7E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6BC36D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E8EAA7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89CC72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BB87CC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89E70B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>
    <w:nsid w:val="11D9744B"/>
    <w:multiLevelType w:val="hybridMultilevel"/>
    <w:tmpl w:val="C3F88CD8"/>
    <w:lvl w:ilvl="0" w:tplc="0415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3E01CE4"/>
    <w:multiLevelType w:val="multilevel"/>
    <w:tmpl w:val="1370EE56"/>
    <w:lvl w:ilvl="0">
      <w:start w:val="9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8000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52F5087"/>
    <w:multiLevelType w:val="hybridMultilevel"/>
    <w:tmpl w:val="32B6ED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C02CC"/>
    <w:multiLevelType w:val="multilevel"/>
    <w:tmpl w:val="EA92830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A403CA4"/>
    <w:multiLevelType w:val="hybridMultilevel"/>
    <w:tmpl w:val="439ADE4E"/>
    <w:lvl w:ilvl="0" w:tplc="0415001B">
      <w:start w:val="1"/>
      <w:numFmt w:val="lowerRoman"/>
      <w:lvlText w:val="%1."/>
      <w:lvlJc w:val="righ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1A7061CC"/>
    <w:multiLevelType w:val="hybridMultilevel"/>
    <w:tmpl w:val="AD6A2C2A"/>
    <w:lvl w:ilvl="0" w:tplc="B1B8871A">
      <w:start w:val="1"/>
      <w:numFmt w:val="upperRoman"/>
      <w:lvlText w:val="%1."/>
      <w:lvlJc w:val="left"/>
      <w:pPr>
        <w:ind w:left="1004" w:hanging="720"/>
      </w:pPr>
      <w:rPr>
        <w:rFonts w:hint="default"/>
        <w:b/>
        <w:color w:val="008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D6CA9"/>
    <w:multiLevelType w:val="hybridMultilevel"/>
    <w:tmpl w:val="81A2CBC4"/>
    <w:lvl w:ilvl="0" w:tplc="AF3E6B42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lang w:val="en-US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>
    <w:nsid w:val="1C093B61"/>
    <w:multiLevelType w:val="multilevel"/>
    <w:tmpl w:val="6AA0DC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8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2670BDE"/>
    <w:multiLevelType w:val="multilevel"/>
    <w:tmpl w:val="794272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8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2A43142"/>
    <w:multiLevelType w:val="hybridMultilevel"/>
    <w:tmpl w:val="E012D1F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2C46DE2"/>
    <w:multiLevelType w:val="hybridMultilevel"/>
    <w:tmpl w:val="8110C116"/>
    <w:lvl w:ilvl="0" w:tplc="E89E7B3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298336ED"/>
    <w:multiLevelType w:val="hybridMultilevel"/>
    <w:tmpl w:val="70806EA2"/>
    <w:lvl w:ilvl="0" w:tplc="E89E7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176A0F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8"/>
        <w:szCs w:val="18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083F03"/>
    <w:multiLevelType w:val="hybridMultilevel"/>
    <w:tmpl w:val="12BC2A68"/>
    <w:lvl w:ilvl="0" w:tplc="E89E7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E67ED0"/>
    <w:multiLevelType w:val="hybridMultilevel"/>
    <w:tmpl w:val="972E3146"/>
    <w:lvl w:ilvl="0" w:tplc="E89E7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896A50"/>
    <w:multiLevelType w:val="hybridMultilevel"/>
    <w:tmpl w:val="98928CFC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F8A7FD0"/>
    <w:multiLevelType w:val="hybridMultilevel"/>
    <w:tmpl w:val="202EE72E"/>
    <w:lvl w:ilvl="0" w:tplc="E89E7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977A4B"/>
    <w:multiLevelType w:val="hybridMultilevel"/>
    <w:tmpl w:val="DFC8BFCE"/>
    <w:lvl w:ilvl="0" w:tplc="E89E7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3C6EC8"/>
    <w:multiLevelType w:val="hybridMultilevel"/>
    <w:tmpl w:val="A490A84A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4172634"/>
    <w:multiLevelType w:val="hybridMultilevel"/>
    <w:tmpl w:val="ABBA7A66"/>
    <w:lvl w:ilvl="0" w:tplc="E89E7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EF6F83"/>
    <w:multiLevelType w:val="hybridMultilevel"/>
    <w:tmpl w:val="F432E2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F00140"/>
    <w:multiLevelType w:val="multilevel"/>
    <w:tmpl w:val="C9D6C7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8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3BEF7D8A"/>
    <w:multiLevelType w:val="hybridMultilevel"/>
    <w:tmpl w:val="E2CC57D8"/>
    <w:lvl w:ilvl="0" w:tplc="68FE48AC">
      <w:start w:val="1"/>
      <w:numFmt w:val="decimal"/>
      <w:lvlText w:val="%1."/>
      <w:lvlJc w:val="right"/>
      <w:pPr>
        <w:ind w:left="1287" w:hanging="360"/>
      </w:pPr>
      <w:rPr>
        <w:rFonts w:hint="default"/>
        <w:b w:val="0"/>
      </w:rPr>
    </w:lvl>
    <w:lvl w:ilvl="1" w:tplc="5FFA6180">
      <w:numFmt w:val="bullet"/>
      <w:lvlText w:val="•"/>
      <w:lvlJc w:val="left"/>
      <w:pPr>
        <w:ind w:left="2187" w:hanging="540"/>
      </w:pPr>
      <w:rPr>
        <w:rFonts w:ascii="Arial" w:eastAsia="Times New Roman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DC7429A"/>
    <w:multiLevelType w:val="multilevel"/>
    <w:tmpl w:val="475C2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3EE10010"/>
    <w:multiLevelType w:val="multilevel"/>
    <w:tmpl w:val="CD9C7D7E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b/>
        <w:sz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6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sz w:val="26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  <w:sz w:val="26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sz w:val="26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sz w:val="26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  <w:sz w:val="26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sz w:val="26"/>
      </w:rPr>
    </w:lvl>
  </w:abstractNum>
  <w:abstractNum w:abstractNumId="26">
    <w:nsid w:val="49E65194"/>
    <w:multiLevelType w:val="hybridMultilevel"/>
    <w:tmpl w:val="CBDAE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1C0672"/>
    <w:multiLevelType w:val="multilevel"/>
    <w:tmpl w:val="217E61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4C842AE2"/>
    <w:multiLevelType w:val="hybridMultilevel"/>
    <w:tmpl w:val="C9961FC4"/>
    <w:lvl w:ilvl="0" w:tplc="3DE260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AC1D7E"/>
    <w:multiLevelType w:val="hybridMultilevel"/>
    <w:tmpl w:val="54FE01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CB63A7B"/>
    <w:multiLevelType w:val="hybridMultilevel"/>
    <w:tmpl w:val="5F1291F4"/>
    <w:lvl w:ilvl="0" w:tplc="041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>
    <w:nsid w:val="4F355AF1"/>
    <w:multiLevelType w:val="multilevel"/>
    <w:tmpl w:val="AB9AE272"/>
    <w:lvl w:ilvl="0">
      <w:start w:val="9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4FE13E30"/>
    <w:multiLevelType w:val="hybridMultilevel"/>
    <w:tmpl w:val="DCA2D772"/>
    <w:lvl w:ilvl="0" w:tplc="E89E7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9B50CF"/>
    <w:multiLevelType w:val="multilevel"/>
    <w:tmpl w:val="DD46803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5CA14A03"/>
    <w:multiLevelType w:val="multilevel"/>
    <w:tmpl w:val="314A6738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619D1D86"/>
    <w:multiLevelType w:val="hybridMultilevel"/>
    <w:tmpl w:val="B18A7C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6718A0"/>
    <w:multiLevelType w:val="hybridMultilevel"/>
    <w:tmpl w:val="B1E04CB8"/>
    <w:lvl w:ilvl="0" w:tplc="A59CC8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4532F4"/>
    <w:multiLevelType w:val="hybridMultilevel"/>
    <w:tmpl w:val="4F284AF2"/>
    <w:lvl w:ilvl="0" w:tplc="DB48DD0A">
      <w:start w:val="1"/>
      <w:numFmt w:val="decimal"/>
      <w:lvlText w:val="%1."/>
      <w:lvlJc w:val="left"/>
      <w:pPr>
        <w:ind w:left="13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4" w:hanging="360"/>
      </w:pPr>
    </w:lvl>
    <w:lvl w:ilvl="2" w:tplc="0415001B" w:tentative="1">
      <w:start w:val="1"/>
      <w:numFmt w:val="lowerRoman"/>
      <w:lvlText w:val="%3."/>
      <w:lvlJc w:val="right"/>
      <w:pPr>
        <w:ind w:left="2794" w:hanging="180"/>
      </w:pPr>
    </w:lvl>
    <w:lvl w:ilvl="3" w:tplc="0415000F" w:tentative="1">
      <w:start w:val="1"/>
      <w:numFmt w:val="decimal"/>
      <w:lvlText w:val="%4."/>
      <w:lvlJc w:val="left"/>
      <w:pPr>
        <w:ind w:left="3514" w:hanging="360"/>
      </w:pPr>
    </w:lvl>
    <w:lvl w:ilvl="4" w:tplc="04150019" w:tentative="1">
      <w:start w:val="1"/>
      <w:numFmt w:val="lowerLetter"/>
      <w:lvlText w:val="%5."/>
      <w:lvlJc w:val="left"/>
      <w:pPr>
        <w:ind w:left="4234" w:hanging="360"/>
      </w:pPr>
    </w:lvl>
    <w:lvl w:ilvl="5" w:tplc="0415001B" w:tentative="1">
      <w:start w:val="1"/>
      <w:numFmt w:val="lowerRoman"/>
      <w:lvlText w:val="%6."/>
      <w:lvlJc w:val="right"/>
      <w:pPr>
        <w:ind w:left="4954" w:hanging="180"/>
      </w:pPr>
    </w:lvl>
    <w:lvl w:ilvl="6" w:tplc="0415000F" w:tentative="1">
      <w:start w:val="1"/>
      <w:numFmt w:val="decimal"/>
      <w:lvlText w:val="%7."/>
      <w:lvlJc w:val="left"/>
      <w:pPr>
        <w:ind w:left="5674" w:hanging="360"/>
      </w:pPr>
    </w:lvl>
    <w:lvl w:ilvl="7" w:tplc="04150019" w:tentative="1">
      <w:start w:val="1"/>
      <w:numFmt w:val="lowerLetter"/>
      <w:lvlText w:val="%8."/>
      <w:lvlJc w:val="left"/>
      <w:pPr>
        <w:ind w:left="6394" w:hanging="360"/>
      </w:pPr>
    </w:lvl>
    <w:lvl w:ilvl="8" w:tplc="0415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38">
    <w:nsid w:val="737C3C34"/>
    <w:multiLevelType w:val="hybridMultilevel"/>
    <w:tmpl w:val="948409DC"/>
    <w:lvl w:ilvl="0" w:tplc="E89E7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5328FA"/>
    <w:multiLevelType w:val="hybridMultilevel"/>
    <w:tmpl w:val="51D02210"/>
    <w:lvl w:ilvl="0" w:tplc="E89E7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010171"/>
    <w:multiLevelType w:val="hybridMultilevel"/>
    <w:tmpl w:val="0E88CAFE"/>
    <w:lvl w:ilvl="0" w:tplc="E89E7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0"/>
  </w:num>
  <w:num w:numId="4">
    <w:abstractNumId w:val="17"/>
  </w:num>
  <w:num w:numId="5">
    <w:abstractNumId w:val="27"/>
  </w:num>
  <w:num w:numId="6">
    <w:abstractNumId w:val="7"/>
  </w:num>
  <w:num w:numId="7">
    <w:abstractNumId w:val="9"/>
  </w:num>
  <w:num w:numId="8">
    <w:abstractNumId w:val="15"/>
  </w:num>
  <w:num w:numId="9">
    <w:abstractNumId w:val="22"/>
  </w:num>
  <w:num w:numId="10">
    <w:abstractNumId w:val="40"/>
  </w:num>
  <w:num w:numId="11">
    <w:abstractNumId w:val="18"/>
  </w:num>
  <w:num w:numId="12">
    <w:abstractNumId w:val="23"/>
  </w:num>
  <w:num w:numId="13">
    <w:abstractNumId w:val="38"/>
  </w:num>
  <w:num w:numId="14">
    <w:abstractNumId w:val="39"/>
  </w:num>
  <w:num w:numId="15">
    <w:abstractNumId w:val="20"/>
  </w:num>
  <w:num w:numId="16">
    <w:abstractNumId w:val="14"/>
  </w:num>
  <w:num w:numId="17">
    <w:abstractNumId w:val="32"/>
  </w:num>
  <w:num w:numId="18">
    <w:abstractNumId w:val="31"/>
  </w:num>
  <w:num w:numId="19">
    <w:abstractNumId w:val="24"/>
  </w:num>
  <w:num w:numId="20">
    <w:abstractNumId w:val="1"/>
  </w:num>
  <w:num w:numId="21">
    <w:abstractNumId w:val="28"/>
  </w:num>
  <w:num w:numId="22">
    <w:abstractNumId w:val="12"/>
  </w:num>
  <w:num w:numId="23">
    <w:abstractNumId w:val="36"/>
  </w:num>
  <w:num w:numId="24">
    <w:abstractNumId w:val="8"/>
  </w:num>
  <w:num w:numId="25">
    <w:abstractNumId w:val="30"/>
  </w:num>
  <w:num w:numId="26">
    <w:abstractNumId w:val="29"/>
  </w:num>
  <w:num w:numId="27">
    <w:abstractNumId w:val="19"/>
  </w:num>
  <w:num w:numId="28">
    <w:abstractNumId w:val="37"/>
  </w:num>
  <w:num w:numId="29">
    <w:abstractNumId w:val="21"/>
  </w:num>
  <w:num w:numId="30">
    <w:abstractNumId w:val="26"/>
  </w:num>
  <w:num w:numId="31">
    <w:abstractNumId w:val="0"/>
  </w:num>
  <w:num w:numId="32">
    <w:abstractNumId w:val="11"/>
  </w:num>
  <w:num w:numId="33">
    <w:abstractNumId w:val="16"/>
  </w:num>
  <w:num w:numId="34">
    <w:abstractNumId w:val="35"/>
  </w:num>
  <w:num w:numId="35">
    <w:abstractNumId w:val="4"/>
  </w:num>
  <w:num w:numId="36">
    <w:abstractNumId w:val="6"/>
  </w:num>
  <w:num w:numId="37">
    <w:abstractNumId w:val="2"/>
  </w:num>
  <w:num w:numId="38">
    <w:abstractNumId w:val="25"/>
  </w:num>
  <w:num w:numId="39">
    <w:abstractNumId w:val="34"/>
  </w:num>
  <w:num w:numId="40">
    <w:abstractNumId w:val="33"/>
  </w:num>
  <w:num w:numId="41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5D0"/>
    <w:rsid w:val="00001B52"/>
    <w:rsid w:val="00001FCC"/>
    <w:rsid w:val="000022A8"/>
    <w:rsid w:val="000038C7"/>
    <w:rsid w:val="0000438C"/>
    <w:rsid w:val="00005A1D"/>
    <w:rsid w:val="000065F8"/>
    <w:rsid w:val="00006AC9"/>
    <w:rsid w:val="0001003A"/>
    <w:rsid w:val="00012082"/>
    <w:rsid w:val="0001245C"/>
    <w:rsid w:val="000129FF"/>
    <w:rsid w:val="00012C16"/>
    <w:rsid w:val="00012F32"/>
    <w:rsid w:val="00014F99"/>
    <w:rsid w:val="000152E1"/>
    <w:rsid w:val="0001551A"/>
    <w:rsid w:val="00015A6E"/>
    <w:rsid w:val="00016565"/>
    <w:rsid w:val="000206BB"/>
    <w:rsid w:val="00020AF5"/>
    <w:rsid w:val="00022313"/>
    <w:rsid w:val="00022F6E"/>
    <w:rsid w:val="000237EE"/>
    <w:rsid w:val="00023AC3"/>
    <w:rsid w:val="00024194"/>
    <w:rsid w:val="000252A3"/>
    <w:rsid w:val="00026723"/>
    <w:rsid w:val="000277CD"/>
    <w:rsid w:val="000277CE"/>
    <w:rsid w:val="00027C1B"/>
    <w:rsid w:val="00030A7B"/>
    <w:rsid w:val="00030B81"/>
    <w:rsid w:val="00030FA7"/>
    <w:rsid w:val="00030FB8"/>
    <w:rsid w:val="00031AC1"/>
    <w:rsid w:val="00033165"/>
    <w:rsid w:val="00033659"/>
    <w:rsid w:val="00034935"/>
    <w:rsid w:val="000368C9"/>
    <w:rsid w:val="00036A90"/>
    <w:rsid w:val="000374EA"/>
    <w:rsid w:val="00040EAE"/>
    <w:rsid w:val="00041A4E"/>
    <w:rsid w:val="00042C62"/>
    <w:rsid w:val="0004305B"/>
    <w:rsid w:val="00043AC0"/>
    <w:rsid w:val="00045BCB"/>
    <w:rsid w:val="0004760F"/>
    <w:rsid w:val="000477D3"/>
    <w:rsid w:val="00050267"/>
    <w:rsid w:val="00050835"/>
    <w:rsid w:val="000508C2"/>
    <w:rsid w:val="000509D7"/>
    <w:rsid w:val="00051101"/>
    <w:rsid w:val="00052576"/>
    <w:rsid w:val="0005424A"/>
    <w:rsid w:val="00054643"/>
    <w:rsid w:val="00055BA6"/>
    <w:rsid w:val="00056088"/>
    <w:rsid w:val="00060793"/>
    <w:rsid w:val="000618FF"/>
    <w:rsid w:val="0006258C"/>
    <w:rsid w:val="000638CE"/>
    <w:rsid w:val="0006392B"/>
    <w:rsid w:val="00065017"/>
    <w:rsid w:val="00065AD4"/>
    <w:rsid w:val="00065CFA"/>
    <w:rsid w:val="00066165"/>
    <w:rsid w:val="00066B0E"/>
    <w:rsid w:val="00066B32"/>
    <w:rsid w:val="0006723B"/>
    <w:rsid w:val="00067488"/>
    <w:rsid w:val="000704FB"/>
    <w:rsid w:val="000719ED"/>
    <w:rsid w:val="00072738"/>
    <w:rsid w:val="00073D0B"/>
    <w:rsid w:val="00076344"/>
    <w:rsid w:val="000766BF"/>
    <w:rsid w:val="000810EE"/>
    <w:rsid w:val="00081819"/>
    <w:rsid w:val="00081A8A"/>
    <w:rsid w:val="00081BA2"/>
    <w:rsid w:val="00083A4E"/>
    <w:rsid w:val="000840E1"/>
    <w:rsid w:val="00085BAC"/>
    <w:rsid w:val="00085CD8"/>
    <w:rsid w:val="00086D0F"/>
    <w:rsid w:val="00086E28"/>
    <w:rsid w:val="000902B1"/>
    <w:rsid w:val="0009380C"/>
    <w:rsid w:val="00093CC1"/>
    <w:rsid w:val="00093CD1"/>
    <w:rsid w:val="000944B4"/>
    <w:rsid w:val="00096B0D"/>
    <w:rsid w:val="00096F04"/>
    <w:rsid w:val="00096FF8"/>
    <w:rsid w:val="00097719"/>
    <w:rsid w:val="000A1688"/>
    <w:rsid w:val="000A244C"/>
    <w:rsid w:val="000A3918"/>
    <w:rsid w:val="000A3D0A"/>
    <w:rsid w:val="000A4754"/>
    <w:rsid w:val="000A49EA"/>
    <w:rsid w:val="000A4AE1"/>
    <w:rsid w:val="000A4DA3"/>
    <w:rsid w:val="000A5059"/>
    <w:rsid w:val="000A5FEA"/>
    <w:rsid w:val="000A6933"/>
    <w:rsid w:val="000A70D6"/>
    <w:rsid w:val="000A7534"/>
    <w:rsid w:val="000A7D24"/>
    <w:rsid w:val="000B094E"/>
    <w:rsid w:val="000B0DE2"/>
    <w:rsid w:val="000B0F22"/>
    <w:rsid w:val="000B11C5"/>
    <w:rsid w:val="000B1524"/>
    <w:rsid w:val="000B1C33"/>
    <w:rsid w:val="000B286B"/>
    <w:rsid w:val="000B51C7"/>
    <w:rsid w:val="000B64D7"/>
    <w:rsid w:val="000B6525"/>
    <w:rsid w:val="000C0896"/>
    <w:rsid w:val="000C1336"/>
    <w:rsid w:val="000C2A43"/>
    <w:rsid w:val="000C3E47"/>
    <w:rsid w:val="000C52AE"/>
    <w:rsid w:val="000C553B"/>
    <w:rsid w:val="000C5E23"/>
    <w:rsid w:val="000C638A"/>
    <w:rsid w:val="000C6FF8"/>
    <w:rsid w:val="000C7D15"/>
    <w:rsid w:val="000D073E"/>
    <w:rsid w:val="000D08EE"/>
    <w:rsid w:val="000D195F"/>
    <w:rsid w:val="000D1A54"/>
    <w:rsid w:val="000D1FEE"/>
    <w:rsid w:val="000D249A"/>
    <w:rsid w:val="000D310D"/>
    <w:rsid w:val="000D441B"/>
    <w:rsid w:val="000D51B0"/>
    <w:rsid w:val="000D6FC6"/>
    <w:rsid w:val="000E0B8A"/>
    <w:rsid w:val="000E22EB"/>
    <w:rsid w:val="000E4915"/>
    <w:rsid w:val="000E5D1A"/>
    <w:rsid w:val="000E7858"/>
    <w:rsid w:val="000E7BDE"/>
    <w:rsid w:val="000F08B2"/>
    <w:rsid w:val="000F102C"/>
    <w:rsid w:val="000F111E"/>
    <w:rsid w:val="000F1BE8"/>
    <w:rsid w:val="000F20F9"/>
    <w:rsid w:val="000F2A75"/>
    <w:rsid w:val="000F525D"/>
    <w:rsid w:val="000F67A1"/>
    <w:rsid w:val="000F69EA"/>
    <w:rsid w:val="001003F1"/>
    <w:rsid w:val="001004E3"/>
    <w:rsid w:val="001007E3"/>
    <w:rsid w:val="001016C3"/>
    <w:rsid w:val="00101FCF"/>
    <w:rsid w:val="00104911"/>
    <w:rsid w:val="00105171"/>
    <w:rsid w:val="00105964"/>
    <w:rsid w:val="00105AEA"/>
    <w:rsid w:val="001069D4"/>
    <w:rsid w:val="001075EA"/>
    <w:rsid w:val="00107B18"/>
    <w:rsid w:val="00107B66"/>
    <w:rsid w:val="00110401"/>
    <w:rsid w:val="00110E79"/>
    <w:rsid w:val="00114463"/>
    <w:rsid w:val="001154F2"/>
    <w:rsid w:val="001158BF"/>
    <w:rsid w:val="00117F69"/>
    <w:rsid w:val="001203F9"/>
    <w:rsid w:val="00122A26"/>
    <w:rsid w:val="00124496"/>
    <w:rsid w:val="00125DDA"/>
    <w:rsid w:val="00125F0D"/>
    <w:rsid w:val="00130DD1"/>
    <w:rsid w:val="001316C1"/>
    <w:rsid w:val="0013201F"/>
    <w:rsid w:val="0013250A"/>
    <w:rsid w:val="001326AA"/>
    <w:rsid w:val="00132BA1"/>
    <w:rsid w:val="00133695"/>
    <w:rsid w:val="00136DD9"/>
    <w:rsid w:val="0013798E"/>
    <w:rsid w:val="00140D32"/>
    <w:rsid w:val="00141F82"/>
    <w:rsid w:val="00142997"/>
    <w:rsid w:val="00143158"/>
    <w:rsid w:val="00147B07"/>
    <w:rsid w:val="00147BEB"/>
    <w:rsid w:val="001502F3"/>
    <w:rsid w:val="00150631"/>
    <w:rsid w:val="00150A5A"/>
    <w:rsid w:val="00151072"/>
    <w:rsid w:val="001517BA"/>
    <w:rsid w:val="001520B1"/>
    <w:rsid w:val="00152276"/>
    <w:rsid w:val="001529F3"/>
    <w:rsid w:val="0015323E"/>
    <w:rsid w:val="00153424"/>
    <w:rsid w:val="00153C4E"/>
    <w:rsid w:val="0015511B"/>
    <w:rsid w:val="00155138"/>
    <w:rsid w:val="0015785C"/>
    <w:rsid w:val="00160293"/>
    <w:rsid w:val="00162074"/>
    <w:rsid w:val="001621D2"/>
    <w:rsid w:val="0016378D"/>
    <w:rsid w:val="0016677E"/>
    <w:rsid w:val="001679AD"/>
    <w:rsid w:val="001723CE"/>
    <w:rsid w:val="0017463C"/>
    <w:rsid w:val="0017479C"/>
    <w:rsid w:val="00174C69"/>
    <w:rsid w:val="00175615"/>
    <w:rsid w:val="00177329"/>
    <w:rsid w:val="00180DC7"/>
    <w:rsid w:val="00182360"/>
    <w:rsid w:val="001826EC"/>
    <w:rsid w:val="00182BCE"/>
    <w:rsid w:val="00183309"/>
    <w:rsid w:val="00183C69"/>
    <w:rsid w:val="00186146"/>
    <w:rsid w:val="0018647B"/>
    <w:rsid w:val="00186607"/>
    <w:rsid w:val="0019076C"/>
    <w:rsid w:val="001912D3"/>
    <w:rsid w:val="00191673"/>
    <w:rsid w:val="001924BE"/>
    <w:rsid w:val="00192A9E"/>
    <w:rsid w:val="00193FAF"/>
    <w:rsid w:val="00194723"/>
    <w:rsid w:val="0019582C"/>
    <w:rsid w:val="001958B2"/>
    <w:rsid w:val="00197317"/>
    <w:rsid w:val="001A0F65"/>
    <w:rsid w:val="001A32E8"/>
    <w:rsid w:val="001A34D5"/>
    <w:rsid w:val="001A386B"/>
    <w:rsid w:val="001A4CFA"/>
    <w:rsid w:val="001A65E9"/>
    <w:rsid w:val="001A69E3"/>
    <w:rsid w:val="001A6B5D"/>
    <w:rsid w:val="001A760B"/>
    <w:rsid w:val="001B4075"/>
    <w:rsid w:val="001B4C2E"/>
    <w:rsid w:val="001B51D9"/>
    <w:rsid w:val="001B5B39"/>
    <w:rsid w:val="001B71DA"/>
    <w:rsid w:val="001C1469"/>
    <w:rsid w:val="001C2990"/>
    <w:rsid w:val="001C38A3"/>
    <w:rsid w:val="001C4588"/>
    <w:rsid w:val="001C4BAE"/>
    <w:rsid w:val="001C4FC7"/>
    <w:rsid w:val="001C5213"/>
    <w:rsid w:val="001C647A"/>
    <w:rsid w:val="001C7CA3"/>
    <w:rsid w:val="001D02F4"/>
    <w:rsid w:val="001D0604"/>
    <w:rsid w:val="001D1B65"/>
    <w:rsid w:val="001D2296"/>
    <w:rsid w:val="001D36EA"/>
    <w:rsid w:val="001D5633"/>
    <w:rsid w:val="001D61FF"/>
    <w:rsid w:val="001D6CAF"/>
    <w:rsid w:val="001E6AAE"/>
    <w:rsid w:val="001F02AA"/>
    <w:rsid w:val="001F1708"/>
    <w:rsid w:val="001F1C4E"/>
    <w:rsid w:val="001F2002"/>
    <w:rsid w:val="001F2156"/>
    <w:rsid w:val="001F2939"/>
    <w:rsid w:val="001F3509"/>
    <w:rsid w:val="001F4DEC"/>
    <w:rsid w:val="001F7CCD"/>
    <w:rsid w:val="0020012A"/>
    <w:rsid w:val="00202CAC"/>
    <w:rsid w:val="00204934"/>
    <w:rsid w:val="002049DF"/>
    <w:rsid w:val="00204B04"/>
    <w:rsid w:val="0020533C"/>
    <w:rsid w:val="00207B07"/>
    <w:rsid w:val="002101C5"/>
    <w:rsid w:val="00211FFF"/>
    <w:rsid w:val="00213A0C"/>
    <w:rsid w:val="00213B28"/>
    <w:rsid w:val="00214B46"/>
    <w:rsid w:val="00215275"/>
    <w:rsid w:val="00215C0C"/>
    <w:rsid w:val="00215D53"/>
    <w:rsid w:val="00216A11"/>
    <w:rsid w:val="0021724D"/>
    <w:rsid w:val="00220C2F"/>
    <w:rsid w:val="00221165"/>
    <w:rsid w:val="00221540"/>
    <w:rsid w:val="00223DB3"/>
    <w:rsid w:val="002274EB"/>
    <w:rsid w:val="00227AA4"/>
    <w:rsid w:val="0023442A"/>
    <w:rsid w:val="00237FD2"/>
    <w:rsid w:val="00240CEC"/>
    <w:rsid w:val="00241FC5"/>
    <w:rsid w:val="00242790"/>
    <w:rsid w:val="00242E19"/>
    <w:rsid w:val="00243301"/>
    <w:rsid w:val="002433C3"/>
    <w:rsid w:val="00244EBD"/>
    <w:rsid w:val="00245B0F"/>
    <w:rsid w:val="0024690C"/>
    <w:rsid w:val="0024725B"/>
    <w:rsid w:val="00251E02"/>
    <w:rsid w:val="0025387D"/>
    <w:rsid w:val="00253A59"/>
    <w:rsid w:val="00253C0B"/>
    <w:rsid w:val="00254A12"/>
    <w:rsid w:val="002557DB"/>
    <w:rsid w:val="00257040"/>
    <w:rsid w:val="002572C0"/>
    <w:rsid w:val="0026019D"/>
    <w:rsid w:val="00260E88"/>
    <w:rsid w:val="0026138B"/>
    <w:rsid w:val="00261512"/>
    <w:rsid w:val="00264659"/>
    <w:rsid w:val="00265D58"/>
    <w:rsid w:val="00266014"/>
    <w:rsid w:val="0026655E"/>
    <w:rsid w:val="00270126"/>
    <w:rsid w:val="00270C54"/>
    <w:rsid w:val="0027257E"/>
    <w:rsid w:val="00274CDF"/>
    <w:rsid w:val="00274F51"/>
    <w:rsid w:val="00277B41"/>
    <w:rsid w:val="00281158"/>
    <w:rsid w:val="00282C12"/>
    <w:rsid w:val="00282CFD"/>
    <w:rsid w:val="00284070"/>
    <w:rsid w:val="002840EF"/>
    <w:rsid w:val="0028576D"/>
    <w:rsid w:val="002865FE"/>
    <w:rsid w:val="00286797"/>
    <w:rsid w:val="00286CE8"/>
    <w:rsid w:val="00291513"/>
    <w:rsid w:val="00291DDE"/>
    <w:rsid w:val="00292115"/>
    <w:rsid w:val="00292CDA"/>
    <w:rsid w:val="00293A0F"/>
    <w:rsid w:val="0029410A"/>
    <w:rsid w:val="0029527B"/>
    <w:rsid w:val="00295BD3"/>
    <w:rsid w:val="00295C68"/>
    <w:rsid w:val="00296A0C"/>
    <w:rsid w:val="002A016D"/>
    <w:rsid w:val="002A0482"/>
    <w:rsid w:val="002A17A4"/>
    <w:rsid w:val="002A17FA"/>
    <w:rsid w:val="002A2ABA"/>
    <w:rsid w:val="002A471E"/>
    <w:rsid w:val="002A57CB"/>
    <w:rsid w:val="002A57F4"/>
    <w:rsid w:val="002A5F47"/>
    <w:rsid w:val="002A6064"/>
    <w:rsid w:val="002B085A"/>
    <w:rsid w:val="002B1A23"/>
    <w:rsid w:val="002B2F43"/>
    <w:rsid w:val="002B5C3A"/>
    <w:rsid w:val="002B5EB6"/>
    <w:rsid w:val="002B653D"/>
    <w:rsid w:val="002B6AB3"/>
    <w:rsid w:val="002B6B89"/>
    <w:rsid w:val="002B7BAC"/>
    <w:rsid w:val="002C36BB"/>
    <w:rsid w:val="002C5D46"/>
    <w:rsid w:val="002C62A2"/>
    <w:rsid w:val="002C630F"/>
    <w:rsid w:val="002C653F"/>
    <w:rsid w:val="002C6D1B"/>
    <w:rsid w:val="002C6DAD"/>
    <w:rsid w:val="002C6DB2"/>
    <w:rsid w:val="002C79BC"/>
    <w:rsid w:val="002C7CB9"/>
    <w:rsid w:val="002D1FF4"/>
    <w:rsid w:val="002D2BDA"/>
    <w:rsid w:val="002D4314"/>
    <w:rsid w:val="002D4767"/>
    <w:rsid w:val="002D59A1"/>
    <w:rsid w:val="002D6448"/>
    <w:rsid w:val="002D68AB"/>
    <w:rsid w:val="002D7B5E"/>
    <w:rsid w:val="002E0D5C"/>
    <w:rsid w:val="002E11A1"/>
    <w:rsid w:val="002E17C4"/>
    <w:rsid w:val="002E2EE9"/>
    <w:rsid w:val="002E531D"/>
    <w:rsid w:val="002E58A5"/>
    <w:rsid w:val="002E5A4E"/>
    <w:rsid w:val="002E6051"/>
    <w:rsid w:val="002E74DC"/>
    <w:rsid w:val="002E7A6F"/>
    <w:rsid w:val="002F01DF"/>
    <w:rsid w:val="002F0B54"/>
    <w:rsid w:val="002F23C4"/>
    <w:rsid w:val="002F2A86"/>
    <w:rsid w:val="002F2B07"/>
    <w:rsid w:val="002F2DA1"/>
    <w:rsid w:val="002F3261"/>
    <w:rsid w:val="002F418F"/>
    <w:rsid w:val="002F4750"/>
    <w:rsid w:val="002F4EF1"/>
    <w:rsid w:val="002F6B86"/>
    <w:rsid w:val="00301D9E"/>
    <w:rsid w:val="003026F2"/>
    <w:rsid w:val="00303167"/>
    <w:rsid w:val="003037FE"/>
    <w:rsid w:val="00303BAD"/>
    <w:rsid w:val="00303D4E"/>
    <w:rsid w:val="00303E45"/>
    <w:rsid w:val="00307611"/>
    <w:rsid w:val="00310394"/>
    <w:rsid w:val="00310F53"/>
    <w:rsid w:val="0031461D"/>
    <w:rsid w:val="00315BE2"/>
    <w:rsid w:val="00316ECE"/>
    <w:rsid w:val="00320628"/>
    <w:rsid w:val="00320BE4"/>
    <w:rsid w:val="00322358"/>
    <w:rsid w:val="0032260B"/>
    <w:rsid w:val="00322AD5"/>
    <w:rsid w:val="00323838"/>
    <w:rsid w:val="00323DC8"/>
    <w:rsid w:val="00324D3E"/>
    <w:rsid w:val="00325E01"/>
    <w:rsid w:val="00326249"/>
    <w:rsid w:val="003273A3"/>
    <w:rsid w:val="00330881"/>
    <w:rsid w:val="00330EEF"/>
    <w:rsid w:val="00331E73"/>
    <w:rsid w:val="0033244A"/>
    <w:rsid w:val="00332948"/>
    <w:rsid w:val="00334AEA"/>
    <w:rsid w:val="00334D85"/>
    <w:rsid w:val="00334EAE"/>
    <w:rsid w:val="00335B21"/>
    <w:rsid w:val="003411A6"/>
    <w:rsid w:val="003415EE"/>
    <w:rsid w:val="0034167B"/>
    <w:rsid w:val="00342029"/>
    <w:rsid w:val="0034321B"/>
    <w:rsid w:val="003440F4"/>
    <w:rsid w:val="0034586A"/>
    <w:rsid w:val="003471D2"/>
    <w:rsid w:val="0034782B"/>
    <w:rsid w:val="003502D3"/>
    <w:rsid w:val="003525FA"/>
    <w:rsid w:val="00353E8B"/>
    <w:rsid w:val="003540F9"/>
    <w:rsid w:val="00354136"/>
    <w:rsid w:val="00354C5E"/>
    <w:rsid w:val="00354C88"/>
    <w:rsid w:val="00355215"/>
    <w:rsid w:val="003562B8"/>
    <w:rsid w:val="00356849"/>
    <w:rsid w:val="00357421"/>
    <w:rsid w:val="003579B3"/>
    <w:rsid w:val="00360F6B"/>
    <w:rsid w:val="003620B7"/>
    <w:rsid w:val="00362525"/>
    <w:rsid w:val="003632EC"/>
    <w:rsid w:val="00363D66"/>
    <w:rsid w:val="00365CAA"/>
    <w:rsid w:val="00366A5E"/>
    <w:rsid w:val="00367F5B"/>
    <w:rsid w:val="00371997"/>
    <w:rsid w:val="003741B9"/>
    <w:rsid w:val="00374D41"/>
    <w:rsid w:val="00375608"/>
    <w:rsid w:val="00375A3E"/>
    <w:rsid w:val="00375FA0"/>
    <w:rsid w:val="003828D7"/>
    <w:rsid w:val="00385477"/>
    <w:rsid w:val="0038590C"/>
    <w:rsid w:val="0038690D"/>
    <w:rsid w:val="00386BC5"/>
    <w:rsid w:val="00386D3F"/>
    <w:rsid w:val="0038743A"/>
    <w:rsid w:val="00391A7B"/>
    <w:rsid w:val="00392644"/>
    <w:rsid w:val="00392786"/>
    <w:rsid w:val="00392B0C"/>
    <w:rsid w:val="00392C35"/>
    <w:rsid w:val="00392E59"/>
    <w:rsid w:val="00393510"/>
    <w:rsid w:val="00394931"/>
    <w:rsid w:val="003965CE"/>
    <w:rsid w:val="00396A27"/>
    <w:rsid w:val="00396EAE"/>
    <w:rsid w:val="00397928"/>
    <w:rsid w:val="003A0005"/>
    <w:rsid w:val="003A0F5E"/>
    <w:rsid w:val="003A0FF7"/>
    <w:rsid w:val="003A2660"/>
    <w:rsid w:val="003A369C"/>
    <w:rsid w:val="003A66BE"/>
    <w:rsid w:val="003B0653"/>
    <w:rsid w:val="003B1380"/>
    <w:rsid w:val="003B140E"/>
    <w:rsid w:val="003B23A9"/>
    <w:rsid w:val="003B2ADC"/>
    <w:rsid w:val="003B6B31"/>
    <w:rsid w:val="003B6C9A"/>
    <w:rsid w:val="003C045A"/>
    <w:rsid w:val="003C0944"/>
    <w:rsid w:val="003C1AF8"/>
    <w:rsid w:val="003C1B60"/>
    <w:rsid w:val="003C3EE8"/>
    <w:rsid w:val="003C4614"/>
    <w:rsid w:val="003C54DA"/>
    <w:rsid w:val="003C5D88"/>
    <w:rsid w:val="003C6D46"/>
    <w:rsid w:val="003D0A68"/>
    <w:rsid w:val="003D3754"/>
    <w:rsid w:val="003D407F"/>
    <w:rsid w:val="003D4F3F"/>
    <w:rsid w:val="003D509C"/>
    <w:rsid w:val="003D6D3D"/>
    <w:rsid w:val="003E33AD"/>
    <w:rsid w:val="003E354E"/>
    <w:rsid w:val="003E41AE"/>
    <w:rsid w:val="003E65B4"/>
    <w:rsid w:val="003E71C0"/>
    <w:rsid w:val="003E77D9"/>
    <w:rsid w:val="003E7A29"/>
    <w:rsid w:val="003F1FE3"/>
    <w:rsid w:val="003F3ABD"/>
    <w:rsid w:val="003F3D71"/>
    <w:rsid w:val="003F4068"/>
    <w:rsid w:val="003F51E2"/>
    <w:rsid w:val="003F546F"/>
    <w:rsid w:val="003F60A7"/>
    <w:rsid w:val="00401522"/>
    <w:rsid w:val="00401691"/>
    <w:rsid w:val="00401B71"/>
    <w:rsid w:val="00401F96"/>
    <w:rsid w:val="00404D03"/>
    <w:rsid w:val="004063CE"/>
    <w:rsid w:val="00407CAC"/>
    <w:rsid w:val="004120D4"/>
    <w:rsid w:val="00412A73"/>
    <w:rsid w:val="0041306F"/>
    <w:rsid w:val="00414C75"/>
    <w:rsid w:val="00415144"/>
    <w:rsid w:val="00416942"/>
    <w:rsid w:val="00417651"/>
    <w:rsid w:val="00420E31"/>
    <w:rsid w:val="00423F3C"/>
    <w:rsid w:val="004245AE"/>
    <w:rsid w:val="0042478B"/>
    <w:rsid w:val="0042534D"/>
    <w:rsid w:val="004259DD"/>
    <w:rsid w:val="00426DC4"/>
    <w:rsid w:val="004274DB"/>
    <w:rsid w:val="00427CA8"/>
    <w:rsid w:val="00430874"/>
    <w:rsid w:val="00431348"/>
    <w:rsid w:val="00431A41"/>
    <w:rsid w:val="00431CF4"/>
    <w:rsid w:val="00433120"/>
    <w:rsid w:val="00433543"/>
    <w:rsid w:val="0043375A"/>
    <w:rsid w:val="00435436"/>
    <w:rsid w:val="00435B64"/>
    <w:rsid w:val="004366DB"/>
    <w:rsid w:val="004377A6"/>
    <w:rsid w:val="00437ECC"/>
    <w:rsid w:val="00437F21"/>
    <w:rsid w:val="00441DB2"/>
    <w:rsid w:val="00442C6D"/>
    <w:rsid w:val="00442D17"/>
    <w:rsid w:val="00442DBE"/>
    <w:rsid w:val="00442F33"/>
    <w:rsid w:val="0044313D"/>
    <w:rsid w:val="00443B05"/>
    <w:rsid w:val="00445A1E"/>
    <w:rsid w:val="004466EA"/>
    <w:rsid w:val="00446B5C"/>
    <w:rsid w:val="00447036"/>
    <w:rsid w:val="00447E8F"/>
    <w:rsid w:val="004500CA"/>
    <w:rsid w:val="0045045E"/>
    <w:rsid w:val="0045090E"/>
    <w:rsid w:val="004518A7"/>
    <w:rsid w:val="00451E8E"/>
    <w:rsid w:val="004523C5"/>
    <w:rsid w:val="00455BD6"/>
    <w:rsid w:val="00460DDA"/>
    <w:rsid w:val="00461BFC"/>
    <w:rsid w:val="00461D90"/>
    <w:rsid w:val="00462206"/>
    <w:rsid w:val="00462CEB"/>
    <w:rsid w:val="00463B62"/>
    <w:rsid w:val="00465951"/>
    <w:rsid w:val="00465D31"/>
    <w:rsid w:val="004667E3"/>
    <w:rsid w:val="0046786D"/>
    <w:rsid w:val="00467D25"/>
    <w:rsid w:val="00470728"/>
    <w:rsid w:val="00470A0D"/>
    <w:rsid w:val="00470CAE"/>
    <w:rsid w:val="00471228"/>
    <w:rsid w:val="00471B9D"/>
    <w:rsid w:val="00472D83"/>
    <w:rsid w:val="00474029"/>
    <w:rsid w:val="00474083"/>
    <w:rsid w:val="004752E8"/>
    <w:rsid w:val="00475496"/>
    <w:rsid w:val="00476D5E"/>
    <w:rsid w:val="00477624"/>
    <w:rsid w:val="00481BB3"/>
    <w:rsid w:val="0048239C"/>
    <w:rsid w:val="004829E5"/>
    <w:rsid w:val="00483B3A"/>
    <w:rsid w:val="00483BD9"/>
    <w:rsid w:val="00484A26"/>
    <w:rsid w:val="00485A43"/>
    <w:rsid w:val="00490F9B"/>
    <w:rsid w:val="00491686"/>
    <w:rsid w:val="00491704"/>
    <w:rsid w:val="00492BAA"/>
    <w:rsid w:val="0049341C"/>
    <w:rsid w:val="00494A6F"/>
    <w:rsid w:val="00495CC3"/>
    <w:rsid w:val="004A1827"/>
    <w:rsid w:val="004A5523"/>
    <w:rsid w:val="004A5778"/>
    <w:rsid w:val="004A6002"/>
    <w:rsid w:val="004A6818"/>
    <w:rsid w:val="004B1AD1"/>
    <w:rsid w:val="004B3C84"/>
    <w:rsid w:val="004B41AB"/>
    <w:rsid w:val="004B41C6"/>
    <w:rsid w:val="004B4F0F"/>
    <w:rsid w:val="004B5FBF"/>
    <w:rsid w:val="004B77FE"/>
    <w:rsid w:val="004B7E59"/>
    <w:rsid w:val="004C072E"/>
    <w:rsid w:val="004C1FE1"/>
    <w:rsid w:val="004C3B68"/>
    <w:rsid w:val="004C4EE0"/>
    <w:rsid w:val="004C5BAA"/>
    <w:rsid w:val="004C6660"/>
    <w:rsid w:val="004C7C22"/>
    <w:rsid w:val="004C7FA9"/>
    <w:rsid w:val="004D3CE7"/>
    <w:rsid w:val="004D42B9"/>
    <w:rsid w:val="004D4B37"/>
    <w:rsid w:val="004D4C93"/>
    <w:rsid w:val="004D6119"/>
    <w:rsid w:val="004D72BE"/>
    <w:rsid w:val="004D7340"/>
    <w:rsid w:val="004D76B6"/>
    <w:rsid w:val="004E0040"/>
    <w:rsid w:val="004E1819"/>
    <w:rsid w:val="004E20AE"/>
    <w:rsid w:val="004E252E"/>
    <w:rsid w:val="004E2F2B"/>
    <w:rsid w:val="004E369B"/>
    <w:rsid w:val="004E408E"/>
    <w:rsid w:val="004E5DEB"/>
    <w:rsid w:val="004E7108"/>
    <w:rsid w:val="004F001E"/>
    <w:rsid w:val="004F0B8F"/>
    <w:rsid w:val="004F1951"/>
    <w:rsid w:val="004F3615"/>
    <w:rsid w:val="004F7963"/>
    <w:rsid w:val="00501234"/>
    <w:rsid w:val="00502098"/>
    <w:rsid w:val="005058EA"/>
    <w:rsid w:val="00506BE9"/>
    <w:rsid w:val="00506E1F"/>
    <w:rsid w:val="005110C8"/>
    <w:rsid w:val="00511253"/>
    <w:rsid w:val="00513095"/>
    <w:rsid w:val="005175B3"/>
    <w:rsid w:val="00520E97"/>
    <w:rsid w:val="005228C9"/>
    <w:rsid w:val="00522B46"/>
    <w:rsid w:val="005234F5"/>
    <w:rsid w:val="0052666E"/>
    <w:rsid w:val="00526761"/>
    <w:rsid w:val="00526F69"/>
    <w:rsid w:val="00527029"/>
    <w:rsid w:val="00533A1A"/>
    <w:rsid w:val="00533F64"/>
    <w:rsid w:val="00534909"/>
    <w:rsid w:val="005360FF"/>
    <w:rsid w:val="00536335"/>
    <w:rsid w:val="00540F12"/>
    <w:rsid w:val="00540F13"/>
    <w:rsid w:val="0054102F"/>
    <w:rsid w:val="00542060"/>
    <w:rsid w:val="0054290A"/>
    <w:rsid w:val="005448F8"/>
    <w:rsid w:val="00544A13"/>
    <w:rsid w:val="00544EFE"/>
    <w:rsid w:val="00545194"/>
    <w:rsid w:val="005463AF"/>
    <w:rsid w:val="00551FE2"/>
    <w:rsid w:val="00552E02"/>
    <w:rsid w:val="00553D13"/>
    <w:rsid w:val="0055563D"/>
    <w:rsid w:val="00555692"/>
    <w:rsid w:val="00556535"/>
    <w:rsid w:val="005579C8"/>
    <w:rsid w:val="00560714"/>
    <w:rsid w:val="00562084"/>
    <w:rsid w:val="005622CB"/>
    <w:rsid w:val="005637B4"/>
    <w:rsid w:val="00564D9F"/>
    <w:rsid w:val="00566882"/>
    <w:rsid w:val="00570AFF"/>
    <w:rsid w:val="00570FB1"/>
    <w:rsid w:val="00572142"/>
    <w:rsid w:val="0057646A"/>
    <w:rsid w:val="0057723C"/>
    <w:rsid w:val="00580CEC"/>
    <w:rsid w:val="00581E89"/>
    <w:rsid w:val="00584C90"/>
    <w:rsid w:val="00585C45"/>
    <w:rsid w:val="0058626B"/>
    <w:rsid w:val="00590401"/>
    <w:rsid w:val="00590908"/>
    <w:rsid w:val="005924C3"/>
    <w:rsid w:val="005930DD"/>
    <w:rsid w:val="0059498C"/>
    <w:rsid w:val="00594A24"/>
    <w:rsid w:val="005955F7"/>
    <w:rsid w:val="00595948"/>
    <w:rsid w:val="005961D1"/>
    <w:rsid w:val="00596EF9"/>
    <w:rsid w:val="0059740A"/>
    <w:rsid w:val="00597CEF"/>
    <w:rsid w:val="005A160C"/>
    <w:rsid w:val="005A1B9B"/>
    <w:rsid w:val="005A3547"/>
    <w:rsid w:val="005A4CA3"/>
    <w:rsid w:val="005A52AB"/>
    <w:rsid w:val="005A639A"/>
    <w:rsid w:val="005A6A8E"/>
    <w:rsid w:val="005B012A"/>
    <w:rsid w:val="005B2889"/>
    <w:rsid w:val="005B30B5"/>
    <w:rsid w:val="005B3E3F"/>
    <w:rsid w:val="005B5C0A"/>
    <w:rsid w:val="005C017D"/>
    <w:rsid w:val="005C275A"/>
    <w:rsid w:val="005C2960"/>
    <w:rsid w:val="005C3E38"/>
    <w:rsid w:val="005C54D9"/>
    <w:rsid w:val="005C5957"/>
    <w:rsid w:val="005C6BAB"/>
    <w:rsid w:val="005D2F3A"/>
    <w:rsid w:val="005D301F"/>
    <w:rsid w:val="005E0825"/>
    <w:rsid w:val="005E1A56"/>
    <w:rsid w:val="005E2AF6"/>
    <w:rsid w:val="005E3B59"/>
    <w:rsid w:val="005E3C40"/>
    <w:rsid w:val="005E6799"/>
    <w:rsid w:val="005E7591"/>
    <w:rsid w:val="005E7E62"/>
    <w:rsid w:val="005F059E"/>
    <w:rsid w:val="005F0614"/>
    <w:rsid w:val="005F10CE"/>
    <w:rsid w:val="005F1F7A"/>
    <w:rsid w:val="005F2825"/>
    <w:rsid w:val="005F2D69"/>
    <w:rsid w:val="005F552B"/>
    <w:rsid w:val="005F5557"/>
    <w:rsid w:val="005F5BF4"/>
    <w:rsid w:val="005F6849"/>
    <w:rsid w:val="005F6E31"/>
    <w:rsid w:val="006029AB"/>
    <w:rsid w:val="006035A0"/>
    <w:rsid w:val="00603D06"/>
    <w:rsid w:val="00603D0D"/>
    <w:rsid w:val="006059F2"/>
    <w:rsid w:val="00607AE8"/>
    <w:rsid w:val="0061142C"/>
    <w:rsid w:val="00612DB2"/>
    <w:rsid w:val="00613E3C"/>
    <w:rsid w:val="0061499F"/>
    <w:rsid w:val="006165D2"/>
    <w:rsid w:val="00620163"/>
    <w:rsid w:val="0062066C"/>
    <w:rsid w:val="00621E2E"/>
    <w:rsid w:val="0062288A"/>
    <w:rsid w:val="0062325E"/>
    <w:rsid w:val="006251D6"/>
    <w:rsid w:val="00625371"/>
    <w:rsid w:val="006273EB"/>
    <w:rsid w:val="00627BF1"/>
    <w:rsid w:val="00627C5F"/>
    <w:rsid w:val="00631300"/>
    <w:rsid w:val="00631B89"/>
    <w:rsid w:val="006330E4"/>
    <w:rsid w:val="00633117"/>
    <w:rsid w:val="006336E2"/>
    <w:rsid w:val="0063382A"/>
    <w:rsid w:val="00633846"/>
    <w:rsid w:val="00634C3D"/>
    <w:rsid w:val="00634CD2"/>
    <w:rsid w:val="00636863"/>
    <w:rsid w:val="00637142"/>
    <w:rsid w:val="0063718E"/>
    <w:rsid w:val="006376A1"/>
    <w:rsid w:val="00637FFC"/>
    <w:rsid w:val="00641C03"/>
    <w:rsid w:val="00641F21"/>
    <w:rsid w:val="00642530"/>
    <w:rsid w:val="00642B2C"/>
    <w:rsid w:val="00643A8B"/>
    <w:rsid w:val="0064498B"/>
    <w:rsid w:val="00644AC3"/>
    <w:rsid w:val="00645736"/>
    <w:rsid w:val="00646410"/>
    <w:rsid w:val="00646B5B"/>
    <w:rsid w:val="00647089"/>
    <w:rsid w:val="00647B78"/>
    <w:rsid w:val="006503FB"/>
    <w:rsid w:val="006508EB"/>
    <w:rsid w:val="00653541"/>
    <w:rsid w:val="00660B06"/>
    <w:rsid w:val="0066112B"/>
    <w:rsid w:val="00661E8B"/>
    <w:rsid w:val="00663E19"/>
    <w:rsid w:val="0066559F"/>
    <w:rsid w:val="00666A7C"/>
    <w:rsid w:val="00666D90"/>
    <w:rsid w:val="006673F2"/>
    <w:rsid w:val="00667784"/>
    <w:rsid w:val="00667F09"/>
    <w:rsid w:val="00672303"/>
    <w:rsid w:val="00672A8D"/>
    <w:rsid w:val="006746F7"/>
    <w:rsid w:val="00675C1F"/>
    <w:rsid w:val="0068090B"/>
    <w:rsid w:val="00681CD3"/>
    <w:rsid w:val="00682F47"/>
    <w:rsid w:val="0068358C"/>
    <w:rsid w:val="006861C8"/>
    <w:rsid w:val="00687098"/>
    <w:rsid w:val="00687E25"/>
    <w:rsid w:val="00691479"/>
    <w:rsid w:val="00691681"/>
    <w:rsid w:val="006921FE"/>
    <w:rsid w:val="0069431F"/>
    <w:rsid w:val="00694E86"/>
    <w:rsid w:val="0069617B"/>
    <w:rsid w:val="006961E1"/>
    <w:rsid w:val="00697956"/>
    <w:rsid w:val="006A2B90"/>
    <w:rsid w:val="006A2B98"/>
    <w:rsid w:val="006A34F3"/>
    <w:rsid w:val="006A5E04"/>
    <w:rsid w:val="006A698B"/>
    <w:rsid w:val="006A71A4"/>
    <w:rsid w:val="006B0805"/>
    <w:rsid w:val="006B2B9A"/>
    <w:rsid w:val="006B3E15"/>
    <w:rsid w:val="006B4819"/>
    <w:rsid w:val="006C1210"/>
    <w:rsid w:val="006C1AD5"/>
    <w:rsid w:val="006C218A"/>
    <w:rsid w:val="006C45D6"/>
    <w:rsid w:val="006C4B59"/>
    <w:rsid w:val="006C73EC"/>
    <w:rsid w:val="006C7DB0"/>
    <w:rsid w:val="006D12AB"/>
    <w:rsid w:val="006D1367"/>
    <w:rsid w:val="006D1C09"/>
    <w:rsid w:val="006D280E"/>
    <w:rsid w:val="006D2B43"/>
    <w:rsid w:val="006D32AA"/>
    <w:rsid w:val="006D3418"/>
    <w:rsid w:val="006D40D1"/>
    <w:rsid w:val="006D49FE"/>
    <w:rsid w:val="006D508A"/>
    <w:rsid w:val="006D50AE"/>
    <w:rsid w:val="006D6401"/>
    <w:rsid w:val="006D78A6"/>
    <w:rsid w:val="006E17A9"/>
    <w:rsid w:val="006E2159"/>
    <w:rsid w:val="006E29BC"/>
    <w:rsid w:val="006E2FAD"/>
    <w:rsid w:val="006E348F"/>
    <w:rsid w:val="006E3870"/>
    <w:rsid w:val="006E54B3"/>
    <w:rsid w:val="006F023E"/>
    <w:rsid w:val="006F053B"/>
    <w:rsid w:val="006F0640"/>
    <w:rsid w:val="006F1FF2"/>
    <w:rsid w:val="006F20CB"/>
    <w:rsid w:val="006F2A25"/>
    <w:rsid w:val="006F2DB3"/>
    <w:rsid w:val="006F55C2"/>
    <w:rsid w:val="006F7507"/>
    <w:rsid w:val="0070025E"/>
    <w:rsid w:val="007004B6"/>
    <w:rsid w:val="00700D1C"/>
    <w:rsid w:val="00701A85"/>
    <w:rsid w:val="007031CB"/>
    <w:rsid w:val="00703806"/>
    <w:rsid w:val="00704341"/>
    <w:rsid w:val="0070496C"/>
    <w:rsid w:val="00707365"/>
    <w:rsid w:val="00707434"/>
    <w:rsid w:val="0071160F"/>
    <w:rsid w:val="00711B29"/>
    <w:rsid w:val="00712C53"/>
    <w:rsid w:val="007153F9"/>
    <w:rsid w:val="00717105"/>
    <w:rsid w:val="0071729F"/>
    <w:rsid w:val="007174E5"/>
    <w:rsid w:val="00717BBA"/>
    <w:rsid w:val="00720D9A"/>
    <w:rsid w:val="00720F6F"/>
    <w:rsid w:val="00723934"/>
    <w:rsid w:val="00724CBF"/>
    <w:rsid w:val="007254C4"/>
    <w:rsid w:val="00725CDF"/>
    <w:rsid w:val="00726114"/>
    <w:rsid w:val="00726562"/>
    <w:rsid w:val="00727BC0"/>
    <w:rsid w:val="007315C5"/>
    <w:rsid w:val="00732752"/>
    <w:rsid w:val="00732C52"/>
    <w:rsid w:val="007340BF"/>
    <w:rsid w:val="0073476F"/>
    <w:rsid w:val="00735F9B"/>
    <w:rsid w:val="0073600A"/>
    <w:rsid w:val="00736E05"/>
    <w:rsid w:val="00740E11"/>
    <w:rsid w:val="007417A4"/>
    <w:rsid w:val="00742B49"/>
    <w:rsid w:val="00743047"/>
    <w:rsid w:val="00743A4C"/>
    <w:rsid w:val="00744063"/>
    <w:rsid w:val="007466A0"/>
    <w:rsid w:val="00746F3C"/>
    <w:rsid w:val="00747611"/>
    <w:rsid w:val="0075092C"/>
    <w:rsid w:val="00750ABC"/>
    <w:rsid w:val="00752F8D"/>
    <w:rsid w:val="00754075"/>
    <w:rsid w:val="00754329"/>
    <w:rsid w:val="00755D13"/>
    <w:rsid w:val="00755D9F"/>
    <w:rsid w:val="00755E93"/>
    <w:rsid w:val="00756CB2"/>
    <w:rsid w:val="00756F99"/>
    <w:rsid w:val="00757350"/>
    <w:rsid w:val="00761A8B"/>
    <w:rsid w:val="00761F42"/>
    <w:rsid w:val="007623C9"/>
    <w:rsid w:val="00763383"/>
    <w:rsid w:val="00764112"/>
    <w:rsid w:val="0076720A"/>
    <w:rsid w:val="0076753B"/>
    <w:rsid w:val="00772FA6"/>
    <w:rsid w:val="0077345D"/>
    <w:rsid w:val="00773B5F"/>
    <w:rsid w:val="00774A36"/>
    <w:rsid w:val="007768E7"/>
    <w:rsid w:val="007818E6"/>
    <w:rsid w:val="00783070"/>
    <w:rsid w:val="007834A4"/>
    <w:rsid w:val="00784CF8"/>
    <w:rsid w:val="007867FB"/>
    <w:rsid w:val="00790688"/>
    <w:rsid w:val="00790D17"/>
    <w:rsid w:val="00792424"/>
    <w:rsid w:val="007936BB"/>
    <w:rsid w:val="007936BC"/>
    <w:rsid w:val="007942D1"/>
    <w:rsid w:val="00795921"/>
    <w:rsid w:val="007959F9"/>
    <w:rsid w:val="00795F2D"/>
    <w:rsid w:val="00796CE9"/>
    <w:rsid w:val="00797670"/>
    <w:rsid w:val="007A11A9"/>
    <w:rsid w:val="007A200A"/>
    <w:rsid w:val="007A3678"/>
    <w:rsid w:val="007A74D6"/>
    <w:rsid w:val="007B2193"/>
    <w:rsid w:val="007B3409"/>
    <w:rsid w:val="007B3779"/>
    <w:rsid w:val="007B477E"/>
    <w:rsid w:val="007B4DB0"/>
    <w:rsid w:val="007B5CBD"/>
    <w:rsid w:val="007B60AA"/>
    <w:rsid w:val="007B73CC"/>
    <w:rsid w:val="007B75D0"/>
    <w:rsid w:val="007C07CD"/>
    <w:rsid w:val="007C12E2"/>
    <w:rsid w:val="007C17F6"/>
    <w:rsid w:val="007C3722"/>
    <w:rsid w:val="007C415D"/>
    <w:rsid w:val="007C4213"/>
    <w:rsid w:val="007C467D"/>
    <w:rsid w:val="007C5D78"/>
    <w:rsid w:val="007C5FF2"/>
    <w:rsid w:val="007C681C"/>
    <w:rsid w:val="007C725E"/>
    <w:rsid w:val="007C7A68"/>
    <w:rsid w:val="007D32CF"/>
    <w:rsid w:val="007D38D0"/>
    <w:rsid w:val="007D4C9D"/>
    <w:rsid w:val="007D71AA"/>
    <w:rsid w:val="007D784E"/>
    <w:rsid w:val="007D7A33"/>
    <w:rsid w:val="007D7E17"/>
    <w:rsid w:val="007E2CAC"/>
    <w:rsid w:val="007E3B3A"/>
    <w:rsid w:val="007E46AC"/>
    <w:rsid w:val="007F056F"/>
    <w:rsid w:val="007F1791"/>
    <w:rsid w:val="007F2187"/>
    <w:rsid w:val="007F3760"/>
    <w:rsid w:val="007F3CBF"/>
    <w:rsid w:val="007F49A8"/>
    <w:rsid w:val="007F4CA9"/>
    <w:rsid w:val="007F5255"/>
    <w:rsid w:val="007F5DF6"/>
    <w:rsid w:val="007F6186"/>
    <w:rsid w:val="007F74A0"/>
    <w:rsid w:val="008016F6"/>
    <w:rsid w:val="008035FE"/>
    <w:rsid w:val="00804E28"/>
    <w:rsid w:val="00806D1B"/>
    <w:rsid w:val="008073AB"/>
    <w:rsid w:val="0080754A"/>
    <w:rsid w:val="00807BAC"/>
    <w:rsid w:val="008106D0"/>
    <w:rsid w:val="00810EE1"/>
    <w:rsid w:val="0081181A"/>
    <w:rsid w:val="008120FA"/>
    <w:rsid w:val="0081283F"/>
    <w:rsid w:val="008136A0"/>
    <w:rsid w:val="00814042"/>
    <w:rsid w:val="00817079"/>
    <w:rsid w:val="008175CA"/>
    <w:rsid w:val="00821BC3"/>
    <w:rsid w:val="00821F6D"/>
    <w:rsid w:val="0082200F"/>
    <w:rsid w:val="00822461"/>
    <w:rsid w:val="00822860"/>
    <w:rsid w:val="00824545"/>
    <w:rsid w:val="0082479E"/>
    <w:rsid w:val="0082606A"/>
    <w:rsid w:val="008267DB"/>
    <w:rsid w:val="00826DC9"/>
    <w:rsid w:val="00827327"/>
    <w:rsid w:val="00827D04"/>
    <w:rsid w:val="00830C2D"/>
    <w:rsid w:val="00830DA2"/>
    <w:rsid w:val="00830FCF"/>
    <w:rsid w:val="008330CB"/>
    <w:rsid w:val="0083514A"/>
    <w:rsid w:val="00836270"/>
    <w:rsid w:val="008378E8"/>
    <w:rsid w:val="0084057E"/>
    <w:rsid w:val="00841680"/>
    <w:rsid w:val="008428EF"/>
    <w:rsid w:val="0084371A"/>
    <w:rsid w:val="00843B34"/>
    <w:rsid w:val="0084431A"/>
    <w:rsid w:val="00845146"/>
    <w:rsid w:val="00845937"/>
    <w:rsid w:val="0084748F"/>
    <w:rsid w:val="00853DEB"/>
    <w:rsid w:val="00854145"/>
    <w:rsid w:val="00854890"/>
    <w:rsid w:val="00854964"/>
    <w:rsid w:val="00855396"/>
    <w:rsid w:val="008566EC"/>
    <w:rsid w:val="00856A33"/>
    <w:rsid w:val="00856E67"/>
    <w:rsid w:val="00857945"/>
    <w:rsid w:val="008618ED"/>
    <w:rsid w:val="00862200"/>
    <w:rsid w:val="00862716"/>
    <w:rsid w:val="0086319F"/>
    <w:rsid w:val="008649DC"/>
    <w:rsid w:val="008662AD"/>
    <w:rsid w:val="0087039B"/>
    <w:rsid w:val="0087185B"/>
    <w:rsid w:val="008729EF"/>
    <w:rsid w:val="008741AD"/>
    <w:rsid w:val="00874F01"/>
    <w:rsid w:val="00876034"/>
    <w:rsid w:val="00881E50"/>
    <w:rsid w:val="008838B8"/>
    <w:rsid w:val="0088466A"/>
    <w:rsid w:val="00884E33"/>
    <w:rsid w:val="00885CDF"/>
    <w:rsid w:val="0088798B"/>
    <w:rsid w:val="00890447"/>
    <w:rsid w:val="00890550"/>
    <w:rsid w:val="00890BF5"/>
    <w:rsid w:val="0089157E"/>
    <w:rsid w:val="0089287D"/>
    <w:rsid w:val="0089301D"/>
    <w:rsid w:val="0089304F"/>
    <w:rsid w:val="00893245"/>
    <w:rsid w:val="008945E4"/>
    <w:rsid w:val="00894825"/>
    <w:rsid w:val="00894BDB"/>
    <w:rsid w:val="00895611"/>
    <w:rsid w:val="008957A8"/>
    <w:rsid w:val="00895945"/>
    <w:rsid w:val="00896BBF"/>
    <w:rsid w:val="00897A16"/>
    <w:rsid w:val="008A13A8"/>
    <w:rsid w:val="008A2CB4"/>
    <w:rsid w:val="008A37D0"/>
    <w:rsid w:val="008A5918"/>
    <w:rsid w:val="008A6506"/>
    <w:rsid w:val="008B0B3E"/>
    <w:rsid w:val="008B2057"/>
    <w:rsid w:val="008B2B3A"/>
    <w:rsid w:val="008B2D9F"/>
    <w:rsid w:val="008B42A7"/>
    <w:rsid w:val="008B66FC"/>
    <w:rsid w:val="008B7C65"/>
    <w:rsid w:val="008C038D"/>
    <w:rsid w:val="008C1A5A"/>
    <w:rsid w:val="008C2D13"/>
    <w:rsid w:val="008C4D40"/>
    <w:rsid w:val="008C4D60"/>
    <w:rsid w:val="008C5C5A"/>
    <w:rsid w:val="008C6254"/>
    <w:rsid w:val="008C64C3"/>
    <w:rsid w:val="008C7C01"/>
    <w:rsid w:val="008D3150"/>
    <w:rsid w:val="008D3FC5"/>
    <w:rsid w:val="008D407B"/>
    <w:rsid w:val="008D5B61"/>
    <w:rsid w:val="008D6741"/>
    <w:rsid w:val="008E39FB"/>
    <w:rsid w:val="008E40C3"/>
    <w:rsid w:val="008E58BB"/>
    <w:rsid w:val="008E7386"/>
    <w:rsid w:val="008E7B03"/>
    <w:rsid w:val="008F22EA"/>
    <w:rsid w:val="008F52D9"/>
    <w:rsid w:val="008F561D"/>
    <w:rsid w:val="008F67D9"/>
    <w:rsid w:val="008F711E"/>
    <w:rsid w:val="008F7ABE"/>
    <w:rsid w:val="0090104E"/>
    <w:rsid w:val="00901470"/>
    <w:rsid w:val="00901739"/>
    <w:rsid w:val="00901A61"/>
    <w:rsid w:val="00902837"/>
    <w:rsid w:val="009036B0"/>
    <w:rsid w:val="0090653A"/>
    <w:rsid w:val="00907257"/>
    <w:rsid w:val="00907303"/>
    <w:rsid w:val="00907784"/>
    <w:rsid w:val="00910E1E"/>
    <w:rsid w:val="00911B39"/>
    <w:rsid w:val="009136A4"/>
    <w:rsid w:val="009142CC"/>
    <w:rsid w:val="009159CE"/>
    <w:rsid w:val="00915E32"/>
    <w:rsid w:val="0091617A"/>
    <w:rsid w:val="0091674F"/>
    <w:rsid w:val="00916CDF"/>
    <w:rsid w:val="00917187"/>
    <w:rsid w:val="009177CB"/>
    <w:rsid w:val="00922FDF"/>
    <w:rsid w:val="00924257"/>
    <w:rsid w:val="0092484F"/>
    <w:rsid w:val="00924C75"/>
    <w:rsid w:val="00925345"/>
    <w:rsid w:val="0092753A"/>
    <w:rsid w:val="00927755"/>
    <w:rsid w:val="0093043A"/>
    <w:rsid w:val="009309B5"/>
    <w:rsid w:val="0093300D"/>
    <w:rsid w:val="009347EB"/>
    <w:rsid w:val="0093489F"/>
    <w:rsid w:val="00934C99"/>
    <w:rsid w:val="00935529"/>
    <w:rsid w:val="009365E0"/>
    <w:rsid w:val="00936BDF"/>
    <w:rsid w:val="009423D0"/>
    <w:rsid w:val="00943541"/>
    <w:rsid w:val="00943786"/>
    <w:rsid w:val="009437B4"/>
    <w:rsid w:val="009506A6"/>
    <w:rsid w:val="00951A14"/>
    <w:rsid w:val="00955B86"/>
    <w:rsid w:val="00956E53"/>
    <w:rsid w:val="00957478"/>
    <w:rsid w:val="00957BBC"/>
    <w:rsid w:val="0096075B"/>
    <w:rsid w:val="009629C0"/>
    <w:rsid w:val="00962D67"/>
    <w:rsid w:val="009651BF"/>
    <w:rsid w:val="00965BB8"/>
    <w:rsid w:val="00966C0F"/>
    <w:rsid w:val="009701E6"/>
    <w:rsid w:val="00973BA7"/>
    <w:rsid w:val="00974BCF"/>
    <w:rsid w:val="00974D50"/>
    <w:rsid w:val="00975E6F"/>
    <w:rsid w:val="00977EB7"/>
    <w:rsid w:val="00980C75"/>
    <w:rsid w:val="009815FA"/>
    <w:rsid w:val="0098186C"/>
    <w:rsid w:val="00981C34"/>
    <w:rsid w:val="00981D50"/>
    <w:rsid w:val="00982461"/>
    <w:rsid w:val="0098253C"/>
    <w:rsid w:val="0098292F"/>
    <w:rsid w:val="0098503B"/>
    <w:rsid w:val="00986594"/>
    <w:rsid w:val="009874B1"/>
    <w:rsid w:val="00987AC1"/>
    <w:rsid w:val="009908F3"/>
    <w:rsid w:val="00992416"/>
    <w:rsid w:val="009924B1"/>
    <w:rsid w:val="00992EE6"/>
    <w:rsid w:val="00993EF5"/>
    <w:rsid w:val="00994D7D"/>
    <w:rsid w:val="00995E4F"/>
    <w:rsid w:val="00995F13"/>
    <w:rsid w:val="009967DC"/>
    <w:rsid w:val="009A00EA"/>
    <w:rsid w:val="009A03D9"/>
    <w:rsid w:val="009A0A5F"/>
    <w:rsid w:val="009A141A"/>
    <w:rsid w:val="009A32FC"/>
    <w:rsid w:val="009A6117"/>
    <w:rsid w:val="009A6CBB"/>
    <w:rsid w:val="009A702D"/>
    <w:rsid w:val="009B171A"/>
    <w:rsid w:val="009B1835"/>
    <w:rsid w:val="009B3BC3"/>
    <w:rsid w:val="009B4CD0"/>
    <w:rsid w:val="009B6A60"/>
    <w:rsid w:val="009B783E"/>
    <w:rsid w:val="009B787A"/>
    <w:rsid w:val="009C0EC3"/>
    <w:rsid w:val="009C27F0"/>
    <w:rsid w:val="009C3481"/>
    <w:rsid w:val="009C4DD8"/>
    <w:rsid w:val="009D073B"/>
    <w:rsid w:val="009D2AA9"/>
    <w:rsid w:val="009D2F8E"/>
    <w:rsid w:val="009D42DD"/>
    <w:rsid w:val="009D4C4D"/>
    <w:rsid w:val="009D65A9"/>
    <w:rsid w:val="009D6694"/>
    <w:rsid w:val="009D6816"/>
    <w:rsid w:val="009D6818"/>
    <w:rsid w:val="009D695C"/>
    <w:rsid w:val="009D6B14"/>
    <w:rsid w:val="009D76CA"/>
    <w:rsid w:val="009E08C0"/>
    <w:rsid w:val="009E28BD"/>
    <w:rsid w:val="009E517F"/>
    <w:rsid w:val="009E60A8"/>
    <w:rsid w:val="009E689D"/>
    <w:rsid w:val="009E68B2"/>
    <w:rsid w:val="009E68DF"/>
    <w:rsid w:val="009E7154"/>
    <w:rsid w:val="009E7C89"/>
    <w:rsid w:val="009F1170"/>
    <w:rsid w:val="009F184A"/>
    <w:rsid w:val="009F2D0E"/>
    <w:rsid w:val="009F4077"/>
    <w:rsid w:val="009F4398"/>
    <w:rsid w:val="009F44E7"/>
    <w:rsid w:val="009F6BD7"/>
    <w:rsid w:val="00A00210"/>
    <w:rsid w:val="00A0098D"/>
    <w:rsid w:val="00A0115C"/>
    <w:rsid w:val="00A01591"/>
    <w:rsid w:val="00A02181"/>
    <w:rsid w:val="00A023C7"/>
    <w:rsid w:val="00A063B7"/>
    <w:rsid w:val="00A07AF7"/>
    <w:rsid w:val="00A1004B"/>
    <w:rsid w:val="00A105F8"/>
    <w:rsid w:val="00A10C71"/>
    <w:rsid w:val="00A1233E"/>
    <w:rsid w:val="00A13A43"/>
    <w:rsid w:val="00A163BD"/>
    <w:rsid w:val="00A171CE"/>
    <w:rsid w:val="00A17D06"/>
    <w:rsid w:val="00A226F2"/>
    <w:rsid w:val="00A228E5"/>
    <w:rsid w:val="00A22EAD"/>
    <w:rsid w:val="00A2553A"/>
    <w:rsid w:val="00A26B44"/>
    <w:rsid w:val="00A26E60"/>
    <w:rsid w:val="00A31DA1"/>
    <w:rsid w:val="00A3238F"/>
    <w:rsid w:val="00A332D4"/>
    <w:rsid w:val="00A34E5B"/>
    <w:rsid w:val="00A37655"/>
    <w:rsid w:val="00A41101"/>
    <w:rsid w:val="00A41D57"/>
    <w:rsid w:val="00A42750"/>
    <w:rsid w:val="00A42CD8"/>
    <w:rsid w:val="00A4479E"/>
    <w:rsid w:val="00A449C2"/>
    <w:rsid w:val="00A44E16"/>
    <w:rsid w:val="00A50932"/>
    <w:rsid w:val="00A52361"/>
    <w:rsid w:val="00A52762"/>
    <w:rsid w:val="00A5293C"/>
    <w:rsid w:val="00A52EF5"/>
    <w:rsid w:val="00A53D28"/>
    <w:rsid w:val="00A54316"/>
    <w:rsid w:val="00A544F5"/>
    <w:rsid w:val="00A54C55"/>
    <w:rsid w:val="00A575FC"/>
    <w:rsid w:val="00A57D82"/>
    <w:rsid w:val="00A60C43"/>
    <w:rsid w:val="00A627C6"/>
    <w:rsid w:val="00A62D08"/>
    <w:rsid w:val="00A637FE"/>
    <w:rsid w:val="00A64FC7"/>
    <w:rsid w:val="00A653BE"/>
    <w:rsid w:val="00A6596A"/>
    <w:rsid w:val="00A667E2"/>
    <w:rsid w:val="00A6746D"/>
    <w:rsid w:val="00A738A3"/>
    <w:rsid w:val="00A74D40"/>
    <w:rsid w:val="00A758C8"/>
    <w:rsid w:val="00A75D61"/>
    <w:rsid w:val="00A7634B"/>
    <w:rsid w:val="00A80B3D"/>
    <w:rsid w:val="00A80E73"/>
    <w:rsid w:val="00A8142C"/>
    <w:rsid w:val="00A81E26"/>
    <w:rsid w:val="00A82B10"/>
    <w:rsid w:val="00A82C2E"/>
    <w:rsid w:val="00A84C57"/>
    <w:rsid w:val="00A8551A"/>
    <w:rsid w:val="00A86C96"/>
    <w:rsid w:val="00A903E7"/>
    <w:rsid w:val="00A90F0C"/>
    <w:rsid w:val="00A94036"/>
    <w:rsid w:val="00A945FF"/>
    <w:rsid w:val="00A96628"/>
    <w:rsid w:val="00A96FF7"/>
    <w:rsid w:val="00AA0364"/>
    <w:rsid w:val="00AA07C5"/>
    <w:rsid w:val="00AA0974"/>
    <w:rsid w:val="00AA176E"/>
    <w:rsid w:val="00AA1AFA"/>
    <w:rsid w:val="00AA1D3D"/>
    <w:rsid w:val="00AA21CD"/>
    <w:rsid w:val="00AA2832"/>
    <w:rsid w:val="00AA34FC"/>
    <w:rsid w:val="00AA466F"/>
    <w:rsid w:val="00AA497B"/>
    <w:rsid w:val="00AA4F2A"/>
    <w:rsid w:val="00AA673E"/>
    <w:rsid w:val="00AA6931"/>
    <w:rsid w:val="00AA7B33"/>
    <w:rsid w:val="00AB0614"/>
    <w:rsid w:val="00AB1CC5"/>
    <w:rsid w:val="00AB2AE7"/>
    <w:rsid w:val="00AB2C34"/>
    <w:rsid w:val="00AB2EC9"/>
    <w:rsid w:val="00AB385E"/>
    <w:rsid w:val="00AB4C5B"/>
    <w:rsid w:val="00AB5DAE"/>
    <w:rsid w:val="00AB64A1"/>
    <w:rsid w:val="00AB7235"/>
    <w:rsid w:val="00AC1115"/>
    <w:rsid w:val="00AC24FA"/>
    <w:rsid w:val="00AC48A2"/>
    <w:rsid w:val="00AC49A4"/>
    <w:rsid w:val="00AC4B49"/>
    <w:rsid w:val="00AC599E"/>
    <w:rsid w:val="00AC5C8E"/>
    <w:rsid w:val="00AC75B5"/>
    <w:rsid w:val="00AD00A2"/>
    <w:rsid w:val="00AD0FC0"/>
    <w:rsid w:val="00AD1B56"/>
    <w:rsid w:val="00AD20F7"/>
    <w:rsid w:val="00AD28B2"/>
    <w:rsid w:val="00AD3A89"/>
    <w:rsid w:val="00AD3B78"/>
    <w:rsid w:val="00AD4209"/>
    <w:rsid w:val="00AD4795"/>
    <w:rsid w:val="00AD4E34"/>
    <w:rsid w:val="00AD504B"/>
    <w:rsid w:val="00AD5406"/>
    <w:rsid w:val="00AD7989"/>
    <w:rsid w:val="00AE05C8"/>
    <w:rsid w:val="00AE1039"/>
    <w:rsid w:val="00AE11FD"/>
    <w:rsid w:val="00AE1622"/>
    <w:rsid w:val="00AE2612"/>
    <w:rsid w:val="00AE336E"/>
    <w:rsid w:val="00AE5E49"/>
    <w:rsid w:val="00AF0617"/>
    <w:rsid w:val="00AF1253"/>
    <w:rsid w:val="00AF166F"/>
    <w:rsid w:val="00AF3FBE"/>
    <w:rsid w:val="00AF68ED"/>
    <w:rsid w:val="00AF7A9D"/>
    <w:rsid w:val="00B000B9"/>
    <w:rsid w:val="00B006B2"/>
    <w:rsid w:val="00B015BF"/>
    <w:rsid w:val="00B023C3"/>
    <w:rsid w:val="00B05848"/>
    <w:rsid w:val="00B061F2"/>
    <w:rsid w:val="00B103DC"/>
    <w:rsid w:val="00B10969"/>
    <w:rsid w:val="00B128A8"/>
    <w:rsid w:val="00B1314A"/>
    <w:rsid w:val="00B13232"/>
    <w:rsid w:val="00B137E8"/>
    <w:rsid w:val="00B14957"/>
    <w:rsid w:val="00B14AFB"/>
    <w:rsid w:val="00B156C9"/>
    <w:rsid w:val="00B16724"/>
    <w:rsid w:val="00B213F1"/>
    <w:rsid w:val="00B21F2E"/>
    <w:rsid w:val="00B23812"/>
    <w:rsid w:val="00B24C44"/>
    <w:rsid w:val="00B2505C"/>
    <w:rsid w:val="00B255C9"/>
    <w:rsid w:val="00B30E73"/>
    <w:rsid w:val="00B31E65"/>
    <w:rsid w:val="00B32F01"/>
    <w:rsid w:val="00B3475F"/>
    <w:rsid w:val="00B34CD0"/>
    <w:rsid w:val="00B36472"/>
    <w:rsid w:val="00B37AFE"/>
    <w:rsid w:val="00B41B3C"/>
    <w:rsid w:val="00B41F8C"/>
    <w:rsid w:val="00B41F96"/>
    <w:rsid w:val="00B41FE5"/>
    <w:rsid w:val="00B43BC5"/>
    <w:rsid w:val="00B43D3D"/>
    <w:rsid w:val="00B43D84"/>
    <w:rsid w:val="00B43FAF"/>
    <w:rsid w:val="00B454B2"/>
    <w:rsid w:val="00B5107C"/>
    <w:rsid w:val="00B52C90"/>
    <w:rsid w:val="00B5336B"/>
    <w:rsid w:val="00B5495C"/>
    <w:rsid w:val="00B54C4D"/>
    <w:rsid w:val="00B54E55"/>
    <w:rsid w:val="00B55325"/>
    <w:rsid w:val="00B5609E"/>
    <w:rsid w:val="00B56946"/>
    <w:rsid w:val="00B624FD"/>
    <w:rsid w:val="00B63288"/>
    <w:rsid w:val="00B641C5"/>
    <w:rsid w:val="00B64A84"/>
    <w:rsid w:val="00B650A4"/>
    <w:rsid w:val="00B66151"/>
    <w:rsid w:val="00B66CD4"/>
    <w:rsid w:val="00B72468"/>
    <w:rsid w:val="00B72C18"/>
    <w:rsid w:val="00B7329F"/>
    <w:rsid w:val="00B733F8"/>
    <w:rsid w:val="00B75079"/>
    <w:rsid w:val="00B75334"/>
    <w:rsid w:val="00B7616E"/>
    <w:rsid w:val="00B80747"/>
    <w:rsid w:val="00B81EB9"/>
    <w:rsid w:val="00B82040"/>
    <w:rsid w:val="00B825D9"/>
    <w:rsid w:val="00B82B73"/>
    <w:rsid w:val="00B8408F"/>
    <w:rsid w:val="00B9287C"/>
    <w:rsid w:val="00B94A6B"/>
    <w:rsid w:val="00B94F74"/>
    <w:rsid w:val="00B9528E"/>
    <w:rsid w:val="00B96AEB"/>
    <w:rsid w:val="00BA082C"/>
    <w:rsid w:val="00BA162B"/>
    <w:rsid w:val="00BA1C79"/>
    <w:rsid w:val="00BA24DB"/>
    <w:rsid w:val="00BA2F18"/>
    <w:rsid w:val="00BA31E3"/>
    <w:rsid w:val="00BB02D6"/>
    <w:rsid w:val="00BB2015"/>
    <w:rsid w:val="00BB487D"/>
    <w:rsid w:val="00BB49FB"/>
    <w:rsid w:val="00BB4A15"/>
    <w:rsid w:val="00BB5210"/>
    <w:rsid w:val="00BB53AA"/>
    <w:rsid w:val="00BB5914"/>
    <w:rsid w:val="00BB5CDF"/>
    <w:rsid w:val="00BB6129"/>
    <w:rsid w:val="00BC09F0"/>
    <w:rsid w:val="00BC1457"/>
    <w:rsid w:val="00BC67AB"/>
    <w:rsid w:val="00BC7622"/>
    <w:rsid w:val="00BC7CFC"/>
    <w:rsid w:val="00BD0926"/>
    <w:rsid w:val="00BD1BEE"/>
    <w:rsid w:val="00BD3433"/>
    <w:rsid w:val="00BD6982"/>
    <w:rsid w:val="00BE0D9C"/>
    <w:rsid w:val="00BE14A6"/>
    <w:rsid w:val="00BE2E9B"/>
    <w:rsid w:val="00BE2EEB"/>
    <w:rsid w:val="00BE35A6"/>
    <w:rsid w:val="00BE3AF3"/>
    <w:rsid w:val="00BE62EF"/>
    <w:rsid w:val="00BE6E8E"/>
    <w:rsid w:val="00BE7B39"/>
    <w:rsid w:val="00BE7F69"/>
    <w:rsid w:val="00BF070F"/>
    <w:rsid w:val="00BF0DC5"/>
    <w:rsid w:val="00BF1EE6"/>
    <w:rsid w:val="00BF399F"/>
    <w:rsid w:val="00BF43DE"/>
    <w:rsid w:val="00BF5650"/>
    <w:rsid w:val="00BF5D9B"/>
    <w:rsid w:val="00BF7DE1"/>
    <w:rsid w:val="00BF7ECD"/>
    <w:rsid w:val="00C00F5B"/>
    <w:rsid w:val="00C0114E"/>
    <w:rsid w:val="00C01583"/>
    <w:rsid w:val="00C02342"/>
    <w:rsid w:val="00C0329F"/>
    <w:rsid w:val="00C036F2"/>
    <w:rsid w:val="00C03A1E"/>
    <w:rsid w:val="00C04AEB"/>
    <w:rsid w:val="00C06831"/>
    <w:rsid w:val="00C0767E"/>
    <w:rsid w:val="00C07831"/>
    <w:rsid w:val="00C110E6"/>
    <w:rsid w:val="00C11F14"/>
    <w:rsid w:val="00C14A6C"/>
    <w:rsid w:val="00C15706"/>
    <w:rsid w:val="00C161F4"/>
    <w:rsid w:val="00C16BE4"/>
    <w:rsid w:val="00C17D0E"/>
    <w:rsid w:val="00C17EA7"/>
    <w:rsid w:val="00C20306"/>
    <w:rsid w:val="00C20BBB"/>
    <w:rsid w:val="00C2154C"/>
    <w:rsid w:val="00C216E8"/>
    <w:rsid w:val="00C218B6"/>
    <w:rsid w:val="00C23CD4"/>
    <w:rsid w:val="00C24548"/>
    <w:rsid w:val="00C24775"/>
    <w:rsid w:val="00C27784"/>
    <w:rsid w:val="00C304AA"/>
    <w:rsid w:val="00C32FF9"/>
    <w:rsid w:val="00C3440B"/>
    <w:rsid w:val="00C34580"/>
    <w:rsid w:val="00C366B0"/>
    <w:rsid w:val="00C40B44"/>
    <w:rsid w:val="00C4221D"/>
    <w:rsid w:val="00C44C8C"/>
    <w:rsid w:val="00C4676F"/>
    <w:rsid w:val="00C47A08"/>
    <w:rsid w:val="00C50BE4"/>
    <w:rsid w:val="00C510F1"/>
    <w:rsid w:val="00C523E9"/>
    <w:rsid w:val="00C54CCA"/>
    <w:rsid w:val="00C564A0"/>
    <w:rsid w:val="00C56A79"/>
    <w:rsid w:val="00C577D8"/>
    <w:rsid w:val="00C65697"/>
    <w:rsid w:val="00C70704"/>
    <w:rsid w:val="00C710EE"/>
    <w:rsid w:val="00C71D56"/>
    <w:rsid w:val="00C728F5"/>
    <w:rsid w:val="00C751D6"/>
    <w:rsid w:val="00C759CF"/>
    <w:rsid w:val="00C75D7C"/>
    <w:rsid w:val="00C76DF1"/>
    <w:rsid w:val="00C80E20"/>
    <w:rsid w:val="00C80FE1"/>
    <w:rsid w:val="00C810D9"/>
    <w:rsid w:val="00C81A90"/>
    <w:rsid w:val="00C8210E"/>
    <w:rsid w:val="00C8255C"/>
    <w:rsid w:val="00C8444A"/>
    <w:rsid w:val="00C84835"/>
    <w:rsid w:val="00C84AB9"/>
    <w:rsid w:val="00C85807"/>
    <w:rsid w:val="00C858A1"/>
    <w:rsid w:val="00C85D54"/>
    <w:rsid w:val="00C876C3"/>
    <w:rsid w:val="00C915FF"/>
    <w:rsid w:val="00C91F09"/>
    <w:rsid w:val="00C93DE8"/>
    <w:rsid w:val="00C93DE9"/>
    <w:rsid w:val="00C9425D"/>
    <w:rsid w:val="00C94947"/>
    <w:rsid w:val="00C94E0F"/>
    <w:rsid w:val="00C97B4D"/>
    <w:rsid w:val="00CA0F8E"/>
    <w:rsid w:val="00CA1534"/>
    <w:rsid w:val="00CA18D9"/>
    <w:rsid w:val="00CA2B0F"/>
    <w:rsid w:val="00CA2B2A"/>
    <w:rsid w:val="00CA4145"/>
    <w:rsid w:val="00CA6207"/>
    <w:rsid w:val="00CB0C02"/>
    <w:rsid w:val="00CB0C6C"/>
    <w:rsid w:val="00CB1848"/>
    <w:rsid w:val="00CB2165"/>
    <w:rsid w:val="00CB25D5"/>
    <w:rsid w:val="00CB4D32"/>
    <w:rsid w:val="00CB5878"/>
    <w:rsid w:val="00CB5B09"/>
    <w:rsid w:val="00CB5B97"/>
    <w:rsid w:val="00CB68DB"/>
    <w:rsid w:val="00CB78FA"/>
    <w:rsid w:val="00CC0136"/>
    <w:rsid w:val="00CC01EC"/>
    <w:rsid w:val="00CC027C"/>
    <w:rsid w:val="00CC0F61"/>
    <w:rsid w:val="00CC169B"/>
    <w:rsid w:val="00CC243C"/>
    <w:rsid w:val="00CC4AC6"/>
    <w:rsid w:val="00CC5695"/>
    <w:rsid w:val="00CC5BB4"/>
    <w:rsid w:val="00CC6341"/>
    <w:rsid w:val="00CC672B"/>
    <w:rsid w:val="00CD35A0"/>
    <w:rsid w:val="00CD3872"/>
    <w:rsid w:val="00CD543C"/>
    <w:rsid w:val="00CD5AAA"/>
    <w:rsid w:val="00CD5C61"/>
    <w:rsid w:val="00CD75EE"/>
    <w:rsid w:val="00CD7897"/>
    <w:rsid w:val="00CD78C3"/>
    <w:rsid w:val="00CE0AD6"/>
    <w:rsid w:val="00CE2FB1"/>
    <w:rsid w:val="00CE4023"/>
    <w:rsid w:val="00CE7C04"/>
    <w:rsid w:val="00CF01BC"/>
    <w:rsid w:val="00CF05A5"/>
    <w:rsid w:val="00CF5361"/>
    <w:rsid w:val="00CF6132"/>
    <w:rsid w:val="00D02537"/>
    <w:rsid w:val="00D02806"/>
    <w:rsid w:val="00D0280D"/>
    <w:rsid w:val="00D02AD4"/>
    <w:rsid w:val="00D02BD4"/>
    <w:rsid w:val="00D0403C"/>
    <w:rsid w:val="00D041B5"/>
    <w:rsid w:val="00D045B6"/>
    <w:rsid w:val="00D06584"/>
    <w:rsid w:val="00D06D16"/>
    <w:rsid w:val="00D1072A"/>
    <w:rsid w:val="00D13984"/>
    <w:rsid w:val="00D13E4D"/>
    <w:rsid w:val="00D14ABA"/>
    <w:rsid w:val="00D15379"/>
    <w:rsid w:val="00D15382"/>
    <w:rsid w:val="00D17E04"/>
    <w:rsid w:val="00D20BAF"/>
    <w:rsid w:val="00D23D0D"/>
    <w:rsid w:val="00D24728"/>
    <w:rsid w:val="00D24C4F"/>
    <w:rsid w:val="00D251FC"/>
    <w:rsid w:val="00D25EA1"/>
    <w:rsid w:val="00D26F83"/>
    <w:rsid w:val="00D27131"/>
    <w:rsid w:val="00D27313"/>
    <w:rsid w:val="00D27D65"/>
    <w:rsid w:val="00D342FC"/>
    <w:rsid w:val="00D34400"/>
    <w:rsid w:val="00D35E97"/>
    <w:rsid w:val="00D36AA1"/>
    <w:rsid w:val="00D36DBC"/>
    <w:rsid w:val="00D4004E"/>
    <w:rsid w:val="00D40288"/>
    <w:rsid w:val="00D40A3C"/>
    <w:rsid w:val="00D41039"/>
    <w:rsid w:val="00D432ED"/>
    <w:rsid w:val="00D45AE1"/>
    <w:rsid w:val="00D46C36"/>
    <w:rsid w:val="00D5011A"/>
    <w:rsid w:val="00D50AE1"/>
    <w:rsid w:val="00D51C8D"/>
    <w:rsid w:val="00D52762"/>
    <w:rsid w:val="00D552B4"/>
    <w:rsid w:val="00D55E3C"/>
    <w:rsid w:val="00D5676B"/>
    <w:rsid w:val="00D57527"/>
    <w:rsid w:val="00D6039A"/>
    <w:rsid w:val="00D6069C"/>
    <w:rsid w:val="00D620F6"/>
    <w:rsid w:val="00D62234"/>
    <w:rsid w:val="00D63297"/>
    <w:rsid w:val="00D6384F"/>
    <w:rsid w:val="00D63976"/>
    <w:rsid w:val="00D65F22"/>
    <w:rsid w:val="00D67086"/>
    <w:rsid w:val="00D67549"/>
    <w:rsid w:val="00D67AC5"/>
    <w:rsid w:val="00D70686"/>
    <w:rsid w:val="00D715AC"/>
    <w:rsid w:val="00D72D41"/>
    <w:rsid w:val="00D73186"/>
    <w:rsid w:val="00D73A76"/>
    <w:rsid w:val="00D745DA"/>
    <w:rsid w:val="00D74A0F"/>
    <w:rsid w:val="00D74CFB"/>
    <w:rsid w:val="00D775B2"/>
    <w:rsid w:val="00D80CDA"/>
    <w:rsid w:val="00D81FD6"/>
    <w:rsid w:val="00D824B4"/>
    <w:rsid w:val="00D82E3B"/>
    <w:rsid w:val="00D83428"/>
    <w:rsid w:val="00D83AC9"/>
    <w:rsid w:val="00D85C51"/>
    <w:rsid w:val="00D86BCD"/>
    <w:rsid w:val="00D8750F"/>
    <w:rsid w:val="00D87FF8"/>
    <w:rsid w:val="00D90817"/>
    <w:rsid w:val="00D919DB"/>
    <w:rsid w:val="00D91E93"/>
    <w:rsid w:val="00D930CF"/>
    <w:rsid w:val="00D941F4"/>
    <w:rsid w:val="00D94233"/>
    <w:rsid w:val="00D94E47"/>
    <w:rsid w:val="00D95873"/>
    <w:rsid w:val="00D95D35"/>
    <w:rsid w:val="00D97E75"/>
    <w:rsid w:val="00DA0079"/>
    <w:rsid w:val="00DA062B"/>
    <w:rsid w:val="00DA2778"/>
    <w:rsid w:val="00DA406B"/>
    <w:rsid w:val="00DA4896"/>
    <w:rsid w:val="00DA6302"/>
    <w:rsid w:val="00DB0003"/>
    <w:rsid w:val="00DB04E2"/>
    <w:rsid w:val="00DB0D23"/>
    <w:rsid w:val="00DB274E"/>
    <w:rsid w:val="00DB569A"/>
    <w:rsid w:val="00DB59BA"/>
    <w:rsid w:val="00DB77F9"/>
    <w:rsid w:val="00DB7E99"/>
    <w:rsid w:val="00DC0AE1"/>
    <w:rsid w:val="00DC2347"/>
    <w:rsid w:val="00DC263E"/>
    <w:rsid w:val="00DC37B5"/>
    <w:rsid w:val="00DC4529"/>
    <w:rsid w:val="00DC60CA"/>
    <w:rsid w:val="00DC60E2"/>
    <w:rsid w:val="00DC66FC"/>
    <w:rsid w:val="00DC7610"/>
    <w:rsid w:val="00DC7E63"/>
    <w:rsid w:val="00DD0113"/>
    <w:rsid w:val="00DD0A9C"/>
    <w:rsid w:val="00DD0BA5"/>
    <w:rsid w:val="00DD4157"/>
    <w:rsid w:val="00DD4B6E"/>
    <w:rsid w:val="00DD50F5"/>
    <w:rsid w:val="00DD5AAC"/>
    <w:rsid w:val="00DD5E4D"/>
    <w:rsid w:val="00DD66F2"/>
    <w:rsid w:val="00DD6E49"/>
    <w:rsid w:val="00DD7870"/>
    <w:rsid w:val="00DE1263"/>
    <w:rsid w:val="00DE17A8"/>
    <w:rsid w:val="00DE2305"/>
    <w:rsid w:val="00DE257C"/>
    <w:rsid w:val="00DE4664"/>
    <w:rsid w:val="00DE5710"/>
    <w:rsid w:val="00DE784A"/>
    <w:rsid w:val="00DF202B"/>
    <w:rsid w:val="00DF2856"/>
    <w:rsid w:val="00DF2FAD"/>
    <w:rsid w:val="00DF35D1"/>
    <w:rsid w:val="00DF3BAE"/>
    <w:rsid w:val="00DF3FCF"/>
    <w:rsid w:val="00DF599C"/>
    <w:rsid w:val="00DF5A9D"/>
    <w:rsid w:val="00DF620C"/>
    <w:rsid w:val="00DF793C"/>
    <w:rsid w:val="00E009DE"/>
    <w:rsid w:val="00E02020"/>
    <w:rsid w:val="00E02118"/>
    <w:rsid w:val="00E02454"/>
    <w:rsid w:val="00E02928"/>
    <w:rsid w:val="00E03372"/>
    <w:rsid w:val="00E03635"/>
    <w:rsid w:val="00E03F76"/>
    <w:rsid w:val="00E049D4"/>
    <w:rsid w:val="00E0522B"/>
    <w:rsid w:val="00E06913"/>
    <w:rsid w:val="00E06A03"/>
    <w:rsid w:val="00E07368"/>
    <w:rsid w:val="00E07AB5"/>
    <w:rsid w:val="00E07E4B"/>
    <w:rsid w:val="00E11FAA"/>
    <w:rsid w:val="00E14392"/>
    <w:rsid w:val="00E157E7"/>
    <w:rsid w:val="00E15A77"/>
    <w:rsid w:val="00E16118"/>
    <w:rsid w:val="00E161C7"/>
    <w:rsid w:val="00E1628C"/>
    <w:rsid w:val="00E167D1"/>
    <w:rsid w:val="00E16B4B"/>
    <w:rsid w:val="00E20300"/>
    <w:rsid w:val="00E2162F"/>
    <w:rsid w:val="00E222A1"/>
    <w:rsid w:val="00E2238F"/>
    <w:rsid w:val="00E2400F"/>
    <w:rsid w:val="00E24922"/>
    <w:rsid w:val="00E26B18"/>
    <w:rsid w:val="00E3078B"/>
    <w:rsid w:val="00E321C6"/>
    <w:rsid w:val="00E33161"/>
    <w:rsid w:val="00E34111"/>
    <w:rsid w:val="00E36B66"/>
    <w:rsid w:val="00E40BA0"/>
    <w:rsid w:val="00E41025"/>
    <w:rsid w:val="00E4288E"/>
    <w:rsid w:val="00E42D40"/>
    <w:rsid w:val="00E4362C"/>
    <w:rsid w:val="00E442EF"/>
    <w:rsid w:val="00E44984"/>
    <w:rsid w:val="00E45AC1"/>
    <w:rsid w:val="00E462AD"/>
    <w:rsid w:val="00E4750E"/>
    <w:rsid w:val="00E47B7E"/>
    <w:rsid w:val="00E501A8"/>
    <w:rsid w:val="00E525D2"/>
    <w:rsid w:val="00E54305"/>
    <w:rsid w:val="00E54E65"/>
    <w:rsid w:val="00E54FEF"/>
    <w:rsid w:val="00E55440"/>
    <w:rsid w:val="00E5637A"/>
    <w:rsid w:val="00E60076"/>
    <w:rsid w:val="00E615B4"/>
    <w:rsid w:val="00E637D2"/>
    <w:rsid w:val="00E63F64"/>
    <w:rsid w:val="00E646EF"/>
    <w:rsid w:val="00E6497F"/>
    <w:rsid w:val="00E64AB5"/>
    <w:rsid w:val="00E64AEB"/>
    <w:rsid w:val="00E655AB"/>
    <w:rsid w:val="00E667DC"/>
    <w:rsid w:val="00E66A2E"/>
    <w:rsid w:val="00E66B0E"/>
    <w:rsid w:val="00E66FF7"/>
    <w:rsid w:val="00E710BE"/>
    <w:rsid w:val="00E71DB1"/>
    <w:rsid w:val="00E72FAE"/>
    <w:rsid w:val="00E72FD8"/>
    <w:rsid w:val="00E72FFA"/>
    <w:rsid w:val="00E73C29"/>
    <w:rsid w:val="00E74BC5"/>
    <w:rsid w:val="00E752F8"/>
    <w:rsid w:val="00E755D9"/>
    <w:rsid w:val="00E763FE"/>
    <w:rsid w:val="00E7656E"/>
    <w:rsid w:val="00E76CD5"/>
    <w:rsid w:val="00E80012"/>
    <w:rsid w:val="00E8136A"/>
    <w:rsid w:val="00E81375"/>
    <w:rsid w:val="00E81801"/>
    <w:rsid w:val="00E82877"/>
    <w:rsid w:val="00E84582"/>
    <w:rsid w:val="00E858FA"/>
    <w:rsid w:val="00E86BE0"/>
    <w:rsid w:val="00E87690"/>
    <w:rsid w:val="00E8797A"/>
    <w:rsid w:val="00E87CE7"/>
    <w:rsid w:val="00E90088"/>
    <w:rsid w:val="00E90B51"/>
    <w:rsid w:val="00E94A94"/>
    <w:rsid w:val="00E95D7B"/>
    <w:rsid w:val="00E95F34"/>
    <w:rsid w:val="00EA0B2E"/>
    <w:rsid w:val="00EA42F2"/>
    <w:rsid w:val="00EA4778"/>
    <w:rsid w:val="00EA49C6"/>
    <w:rsid w:val="00EA6573"/>
    <w:rsid w:val="00EA6643"/>
    <w:rsid w:val="00EA6D16"/>
    <w:rsid w:val="00EA7694"/>
    <w:rsid w:val="00EB0BB4"/>
    <w:rsid w:val="00EB1C79"/>
    <w:rsid w:val="00EB1E21"/>
    <w:rsid w:val="00EB2336"/>
    <w:rsid w:val="00EB2E88"/>
    <w:rsid w:val="00EB395A"/>
    <w:rsid w:val="00EB3D49"/>
    <w:rsid w:val="00EB54C3"/>
    <w:rsid w:val="00EB67ED"/>
    <w:rsid w:val="00EB7192"/>
    <w:rsid w:val="00EC062D"/>
    <w:rsid w:val="00EC3A9D"/>
    <w:rsid w:val="00EC7132"/>
    <w:rsid w:val="00ED196A"/>
    <w:rsid w:val="00ED2325"/>
    <w:rsid w:val="00ED2BD5"/>
    <w:rsid w:val="00EE1B9C"/>
    <w:rsid w:val="00EE1E3D"/>
    <w:rsid w:val="00EE2440"/>
    <w:rsid w:val="00EE4A6B"/>
    <w:rsid w:val="00EE6379"/>
    <w:rsid w:val="00EE6994"/>
    <w:rsid w:val="00EF086E"/>
    <w:rsid w:val="00EF318F"/>
    <w:rsid w:val="00EF4DAD"/>
    <w:rsid w:val="00EF6C5E"/>
    <w:rsid w:val="00F019A9"/>
    <w:rsid w:val="00F01BCF"/>
    <w:rsid w:val="00F01E99"/>
    <w:rsid w:val="00F02D5A"/>
    <w:rsid w:val="00F0466B"/>
    <w:rsid w:val="00F04DB4"/>
    <w:rsid w:val="00F07213"/>
    <w:rsid w:val="00F1086A"/>
    <w:rsid w:val="00F11DF1"/>
    <w:rsid w:val="00F1386D"/>
    <w:rsid w:val="00F139AA"/>
    <w:rsid w:val="00F13E39"/>
    <w:rsid w:val="00F15C83"/>
    <w:rsid w:val="00F20352"/>
    <w:rsid w:val="00F21CD6"/>
    <w:rsid w:val="00F22117"/>
    <w:rsid w:val="00F24607"/>
    <w:rsid w:val="00F246C9"/>
    <w:rsid w:val="00F2485B"/>
    <w:rsid w:val="00F26529"/>
    <w:rsid w:val="00F26E29"/>
    <w:rsid w:val="00F27416"/>
    <w:rsid w:val="00F30265"/>
    <w:rsid w:val="00F30B25"/>
    <w:rsid w:val="00F312EA"/>
    <w:rsid w:val="00F31AF6"/>
    <w:rsid w:val="00F3228E"/>
    <w:rsid w:val="00F3375A"/>
    <w:rsid w:val="00F34501"/>
    <w:rsid w:val="00F363C0"/>
    <w:rsid w:val="00F40387"/>
    <w:rsid w:val="00F407B3"/>
    <w:rsid w:val="00F41429"/>
    <w:rsid w:val="00F42650"/>
    <w:rsid w:val="00F43068"/>
    <w:rsid w:val="00F436AE"/>
    <w:rsid w:val="00F43F08"/>
    <w:rsid w:val="00F44709"/>
    <w:rsid w:val="00F47488"/>
    <w:rsid w:val="00F4786F"/>
    <w:rsid w:val="00F51DBA"/>
    <w:rsid w:val="00F525DF"/>
    <w:rsid w:val="00F54B0E"/>
    <w:rsid w:val="00F573A1"/>
    <w:rsid w:val="00F57566"/>
    <w:rsid w:val="00F57C17"/>
    <w:rsid w:val="00F6007E"/>
    <w:rsid w:val="00F60E9E"/>
    <w:rsid w:val="00F61E58"/>
    <w:rsid w:val="00F66EAF"/>
    <w:rsid w:val="00F7055B"/>
    <w:rsid w:val="00F711F9"/>
    <w:rsid w:val="00F714F3"/>
    <w:rsid w:val="00F71930"/>
    <w:rsid w:val="00F72A98"/>
    <w:rsid w:val="00F73609"/>
    <w:rsid w:val="00F749F8"/>
    <w:rsid w:val="00F75774"/>
    <w:rsid w:val="00F76B27"/>
    <w:rsid w:val="00F80A05"/>
    <w:rsid w:val="00F82E3A"/>
    <w:rsid w:val="00F832BF"/>
    <w:rsid w:val="00F834AE"/>
    <w:rsid w:val="00F843C6"/>
    <w:rsid w:val="00F84E0F"/>
    <w:rsid w:val="00F85331"/>
    <w:rsid w:val="00F85C04"/>
    <w:rsid w:val="00F87A15"/>
    <w:rsid w:val="00F90499"/>
    <w:rsid w:val="00F92B44"/>
    <w:rsid w:val="00F936D3"/>
    <w:rsid w:val="00F96E04"/>
    <w:rsid w:val="00F973C1"/>
    <w:rsid w:val="00FA05E9"/>
    <w:rsid w:val="00FA0E43"/>
    <w:rsid w:val="00FA16C4"/>
    <w:rsid w:val="00FA36A0"/>
    <w:rsid w:val="00FA7C82"/>
    <w:rsid w:val="00FB0216"/>
    <w:rsid w:val="00FB17EF"/>
    <w:rsid w:val="00FB2939"/>
    <w:rsid w:val="00FB2A7E"/>
    <w:rsid w:val="00FB2DEE"/>
    <w:rsid w:val="00FB2E40"/>
    <w:rsid w:val="00FB43EF"/>
    <w:rsid w:val="00FB442C"/>
    <w:rsid w:val="00FB5EBE"/>
    <w:rsid w:val="00FB6D44"/>
    <w:rsid w:val="00FB718B"/>
    <w:rsid w:val="00FB71A6"/>
    <w:rsid w:val="00FC0DBB"/>
    <w:rsid w:val="00FC19F2"/>
    <w:rsid w:val="00FC6487"/>
    <w:rsid w:val="00FC7ACE"/>
    <w:rsid w:val="00FD0336"/>
    <w:rsid w:val="00FD1263"/>
    <w:rsid w:val="00FD1357"/>
    <w:rsid w:val="00FD13A4"/>
    <w:rsid w:val="00FD1643"/>
    <w:rsid w:val="00FD1C1C"/>
    <w:rsid w:val="00FD1DF3"/>
    <w:rsid w:val="00FD2398"/>
    <w:rsid w:val="00FD44B6"/>
    <w:rsid w:val="00FD49A9"/>
    <w:rsid w:val="00FD5DD2"/>
    <w:rsid w:val="00FD6718"/>
    <w:rsid w:val="00FE059A"/>
    <w:rsid w:val="00FE08A4"/>
    <w:rsid w:val="00FE107C"/>
    <w:rsid w:val="00FE1A6F"/>
    <w:rsid w:val="00FE30AE"/>
    <w:rsid w:val="00FE3FC6"/>
    <w:rsid w:val="00FE7AF2"/>
    <w:rsid w:val="00FE7EDA"/>
    <w:rsid w:val="00FF0BF6"/>
    <w:rsid w:val="00FF2DA2"/>
    <w:rsid w:val="00FF305D"/>
    <w:rsid w:val="00FF36A9"/>
    <w:rsid w:val="00FF4AD3"/>
    <w:rsid w:val="00FF5DAA"/>
    <w:rsid w:val="00FF7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C6BAB"/>
    <w:pPr>
      <w:autoSpaceDE w:val="0"/>
      <w:autoSpaceDN w:val="0"/>
      <w:spacing w:before="240" w:after="360"/>
      <w:ind w:left="-284"/>
      <w:outlineLvl w:val="0"/>
    </w:pPr>
    <w:rPr>
      <w:rFonts w:ascii="Tahoma" w:hAnsi="Tahoma" w:cs="Tahoma"/>
      <w:b/>
      <w:caps/>
      <w:color w:val="008000"/>
      <w:kern w:val="28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93FA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F2485B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1F02AA"/>
    <w:pPr>
      <w:spacing w:line="360" w:lineRule="auto"/>
      <w:jc w:val="both"/>
    </w:pPr>
    <w:rPr>
      <w:rFonts w:ascii="Arial" w:hAnsi="Arial"/>
      <w:szCs w:val="20"/>
    </w:rPr>
  </w:style>
  <w:style w:type="table" w:styleId="Tabela-Siatka">
    <w:name w:val="Table Grid"/>
    <w:basedOn w:val="Standardowy"/>
    <w:rsid w:val="001F02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rzypisudolnegoZnak">
    <w:name w:val="Tekst przypisu dolnego Znak"/>
    <w:aliases w:val="Tekst przypisu Znak,Podrozdział Znak,Footnote Znak,Podrozdzia3 Znak,-E Fuﬂnotentext Znak,Fuﬂnotentext Ursprung Znak,Fußnotentext Ursprung Znak,-E Fußnotentext Znak,Footnote text Znak,Tekst przypisu Znak Znak Znak Znak Znak1"/>
    <w:link w:val="Tekstprzypisudolnego"/>
    <w:uiPriority w:val="99"/>
    <w:locked/>
    <w:rsid w:val="00CC4AC6"/>
  </w:style>
  <w:style w:type="paragraph" w:styleId="Tekstprzypisudolnego">
    <w:name w:val="footnote text"/>
    <w:aliases w:val="Tekst przypisu,Podrozdział,Footnote,Podrozdzia3,-E Fuﬂnotentext,Fuﬂnotentext Ursprung,Fußnotentext Ursprung,-E Fußnotentext,Footnote text,Tekst przypisu Znak Znak Znak Znak,Tekst przypisu Znak Znak Znak Znak Znak,Footnote Text OCR"/>
    <w:basedOn w:val="Normalny"/>
    <w:link w:val="TekstprzypisudolnegoZnak"/>
    <w:uiPriority w:val="99"/>
    <w:unhideWhenUsed/>
    <w:rsid w:val="00CC4AC6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C4AC6"/>
  </w:style>
  <w:style w:type="character" w:styleId="Odwoanieprzypisudolnego">
    <w:name w:val="footnote reference"/>
    <w:aliases w:val="Odwołanie przypisu,SUPERS,Znak Znak4,Footnote Reference Number,Footnote reference number,Footnote symbol,note TESI,EN Footnote Reference,Appel note de bas de p,Nota,Footnote number,Footnote Reference Superscript,number,stylish"/>
    <w:uiPriority w:val="99"/>
    <w:unhideWhenUsed/>
    <w:rsid w:val="00CC4AC6"/>
    <w:rPr>
      <w:vertAlign w:val="superscript"/>
    </w:rPr>
  </w:style>
  <w:style w:type="character" w:styleId="Pogrubienie">
    <w:name w:val="Strong"/>
    <w:uiPriority w:val="22"/>
    <w:qFormat/>
    <w:rsid w:val="00763383"/>
    <w:rPr>
      <w:b/>
      <w:bCs/>
    </w:rPr>
  </w:style>
  <w:style w:type="paragraph" w:customStyle="1" w:styleId="BodyText22">
    <w:name w:val="Body Text 22"/>
    <w:basedOn w:val="Normalny"/>
    <w:rsid w:val="00763383"/>
    <w:pPr>
      <w:widowControl w:val="0"/>
      <w:spacing w:before="120"/>
      <w:ind w:left="284" w:hanging="284"/>
      <w:jc w:val="both"/>
    </w:pPr>
    <w:rPr>
      <w:rFonts w:ascii="Arial" w:hAnsi="Arial"/>
      <w:szCs w:val="20"/>
    </w:rPr>
  </w:style>
  <w:style w:type="paragraph" w:styleId="Akapitzlist">
    <w:name w:val="List Paragraph"/>
    <w:aliases w:val="Dot pt,F5 List Paragraph"/>
    <w:basedOn w:val="Normalny"/>
    <w:link w:val="AkapitzlistZnak"/>
    <w:uiPriority w:val="34"/>
    <w:qFormat/>
    <w:rsid w:val="007633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aliases w:val="Nagłówek strony"/>
    <w:basedOn w:val="Normalny"/>
    <w:link w:val="NagwekZnak"/>
    <w:unhideWhenUsed/>
    <w:rsid w:val="00BA1C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link w:val="Nagwek"/>
    <w:rsid w:val="00BA1C79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BA1C7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A1C79"/>
    <w:rPr>
      <w:sz w:val="24"/>
      <w:szCs w:val="24"/>
    </w:rPr>
  </w:style>
  <w:style w:type="character" w:customStyle="1" w:styleId="Nagwek1Znak">
    <w:name w:val="Nagłówek 1 Znak"/>
    <w:link w:val="Nagwek1"/>
    <w:rsid w:val="005C6BAB"/>
    <w:rPr>
      <w:rFonts w:ascii="Tahoma" w:hAnsi="Tahoma" w:cs="Tahoma"/>
      <w:b/>
      <w:caps/>
      <w:color w:val="008000"/>
      <w:kern w:val="28"/>
      <w:sz w:val="28"/>
    </w:rPr>
  </w:style>
  <w:style w:type="character" w:styleId="Hipercze">
    <w:name w:val="Hyperlink"/>
    <w:uiPriority w:val="99"/>
    <w:unhideWhenUsed/>
    <w:rsid w:val="005C6BAB"/>
    <w:rPr>
      <w:color w:val="0000FF"/>
      <w:u w:val="single"/>
    </w:rPr>
  </w:style>
  <w:style w:type="character" w:customStyle="1" w:styleId="AkapitzlistZnak">
    <w:name w:val="Akapit z listą Znak"/>
    <w:aliases w:val="Dot pt Znak,F5 List Paragraph Znak"/>
    <w:link w:val="Akapitzlist"/>
    <w:uiPriority w:val="34"/>
    <w:locked/>
    <w:rsid w:val="005C6BAB"/>
    <w:rPr>
      <w:rFonts w:ascii="Calibri" w:eastAsia="Calibri" w:hAnsi="Calibri"/>
      <w:sz w:val="22"/>
      <w:szCs w:val="22"/>
      <w:lang w:eastAsia="en-US"/>
    </w:rPr>
  </w:style>
  <w:style w:type="paragraph" w:customStyle="1" w:styleId="ZnakZnakZnak">
    <w:name w:val="Znak Znak Znak"/>
    <w:basedOn w:val="Normalny"/>
    <w:rsid w:val="000B0F22"/>
  </w:style>
  <w:style w:type="paragraph" w:customStyle="1" w:styleId="Default">
    <w:name w:val="Default"/>
    <w:rsid w:val="000B0F2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nyWeb">
    <w:name w:val="Normal (Web)"/>
    <w:basedOn w:val="Normalny"/>
    <w:unhideWhenUsed/>
    <w:rsid w:val="000B0F22"/>
    <w:pPr>
      <w:spacing w:before="100" w:beforeAutospacing="1" w:after="100" w:afterAutospacing="1"/>
    </w:pPr>
  </w:style>
  <w:style w:type="paragraph" w:customStyle="1" w:styleId="1">
    <w:name w:val="1"/>
    <w:basedOn w:val="Normalny"/>
    <w:rsid w:val="002B5C3A"/>
  </w:style>
  <w:style w:type="paragraph" w:customStyle="1" w:styleId="BodyText21">
    <w:name w:val="Body Text 21"/>
    <w:basedOn w:val="Normalny"/>
    <w:rsid w:val="002B5C3A"/>
    <w:pPr>
      <w:tabs>
        <w:tab w:val="left" w:pos="360"/>
      </w:tabs>
      <w:spacing w:line="360" w:lineRule="auto"/>
      <w:ind w:left="360" w:hanging="360"/>
    </w:pPr>
    <w:rPr>
      <w:rFonts w:ascii="Arial" w:hAnsi="Arial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401691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93FA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5B3E3F"/>
    <w:rPr>
      <w:i/>
      <w:iCs/>
    </w:rPr>
  </w:style>
  <w:style w:type="paragraph" w:styleId="Legenda">
    <w:name w:val="caption"/>
    <w:basedOn w:val="Normalny"/>
    <w:next w:val="Normalny"/>
    <w:qFormat/>
    <w:rsid w:val="00114463"/>
    <w:pPr>
      <w:spacing w:before="120" w:after="120"/>
    </w:pPr>
    <w:rPr>
      <w:b/>
      <w:bCs/>
      <w:sz w:val="20"/>
      <w:szCs w:val="20"/>
    </w:rPr>
  </w:style>
  <w:style w:type="paragraph" w:customStyle="1" w:styleId="ZnakZnakZnakZnakZnakZnak">
    <w:name w:val="Znak Znak Znak Znak Znak Znak"/>
    <w:basedOn w:val="Normalny"/>
    <w:rsid w:val="00F44709"/>
  </w:style>
  <w:style w:type="paragraph" w:customStyle="1" w:styleId="ZnakZnakZnakZnakZnakZnak1">
    <w:name w:val="Znak Znak Znak Znak Znak Znak1"/>
    <w:basedOn w:val="Normalny"/>
    <w:rsid w:val="009A03D9"/>
  </w:style>
  <w:style w:type="paragraph" w:styleId="Zwykytekst">
    <w:name w:val="Plain Text"/>
    <w:basedOn w:val="Normalny"/>
    <w:link w:val="ZwykytekstZnak"/>
    <w:uiPriority w:val="99"/>
    <w:rsid w:val="00E2238F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2238F"/>
    <w:rPr>
      <w:rFonts w:ascii="Courier New" w:hAnsi="Courier New"/>
    </w:rPr>
  </w:style>
  <w:style w:type="character" w:customStyle="1" w:styleId="TekstpodstawowyZnak">
    <w:name w:val="Tekst podstawowy Znak"/>
    <w:link w:val="Tekstpodstawowy"/>
    <w:rsid w:val="00174C69"/>
    <w:rPr>
      <w:rFonts w:ascii="Arial" w:hAnsi="Arial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38B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38B8"/>
  </w:style>
  <w:style w:type="character" w:styleId="Odwoanieprzypisukocowego">
    <w:name w:val="endnote reference"/>
    <w:basedOn w:val="Domylnaczcionkaakapitu"/>
    <w:uiPriority w:val="99"/>
    <w:semiHidden/>
    <w:unhideWhenUsed/>
    <w:rsid w:val="008838B8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D25EA1"/>
  </w:style>
  <w:style w:type="table" w:customStyle="1" w:styleId="Tabela-Siatka1">
    <w:name w:val="Tabela - Siatka1"/>
    <w:basedOn w:val="Standardowy"/>
    <w:next w:val="Tabela-Siatka"/>
    <w:rsid w:val="00D25EA1"/>
    <w:pPr>
      <w:spacing w:line="360" w:lineRule="auto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25EA1"/>
  </w:style>
  <w:style w:type="character" w:styleId="Odwoaniedokomentarza">
    <w:name w:val="annotation reference"/>
    <w:basedOn w:val="Domylnaczcionkaakapitu"/>
    <w:uiPriority w:val="99"/>
    <w:semiHidden/>
    <w:unhideWhenUsed/>
    <w:rsid w:val="00D25E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5EA1"/>
    <w:pPr>
      <w:ind w:firstLine="567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5EA1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5E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5EA1"/>
    <w:rPr>
      <w:rFonts w:ascii="Arial" w:hAnsi="Arial"/>
      <w:b/>
      <w:bCs/>
    </w:rPr>
  </w:style>
  <w:style w:type="paragraph" w:styleId="Poprawka">
    <w:name w:val="Revision"/>
    <w:hidden/>
    <w:uiPriority w:val="99"/>
    <w:semiHidden/>
    <w:rsid w:val="00D25EA1"/>
    <w:rPr>
      <w:rFonts w:ascii="Arial" w:hAnsi="Arial"/>
      <w:sz w:val="24"/>
    </w:rPr>
  </w:style>
  <w:style w:type="character" w:styleId="Wyrnienieintensywne">
    <w:name w:val="Intense Emphasis"/>
    <w:basedOn w:val="Domylnaczcionkaakapitu"/>
    <w:uiPriority w:val="21"/>
    <w:qFormat/>
    <w:rsid w:val="00D25EA1"/>
    <w:rPr>
      <w:b/>
      <w:bCs/>
      <w:i/>
      <w:iCs/>
      <w:color w:val="4F81BD" w:themeColor="accent1"/>
    </w:rPr>
  </w:style>
  <w:style w:type="paragraph" w:styleId="Bezodstpw">
    <w:name w:val="No Spacing"/>
    <w:uiPriority w:val="1"/>
    <w:qFormat/>
    <w:rsid w:val="00D25EA1"/>
    <w:pPr>
      <w:ind w:firstLine="567"/>
    </w:pPr>
    <w:rPr>
      <w:rFonts w:ascii="Arial" w:hAnsi="Arial"/>
      <w:sz w:val="24"/>
    </w:rPr>
  </w:style>
  <w:style w:type="paragraph" w:customStyle="1" w:styleId="Standardowy2">
    <w:name w:val="Standardowy2"/>
    <w:rsid w:val="00D25EA1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E62EF"/>
    <w:pPr>
      <w:keepNext/>
      <w:keepLines/>
      <w:autoSpaceDE/>
      <w:autoSpaceDN/>
      <w:spacing w:before="480" w:after="0" w:line="276" w:lineRule="auto"/>
      <w:ind w:left="0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081BA2"/>
    <w:pPr>
      <w:tabs>
        <w:tab w:val="left" w:pos="709"/>
        <w:tab w:val="right" w:leader="dot" w:pos="9345"/>
      </w:tabs>
      <w:spacing w:after="100"/>
    </w:pPr>
    <w:rPr>
      <w:rFonts w:ascii="Arial" w:hAnsi="Arial" w:cs="Arial"/>
      <w:noProof/>
      <w:spacing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C6BAB"/>
    <w:pPr>
      <w:autoSpaceDE w:val="0"/>
      <w:autoSpaceDN w:val="0"/>
      <w:spacing w:before="240" w:after="360"/>
      <w:ind w:left="-284"/>
      <w:outlineLvl w:val="0"/>
    </w:pPr>
    <w:rPr>
      <w:rFonts w:ascii="Tahoma" w:hAnsi="Tahoma" w:cs="Tahoma"/>
      <w:b/>
      <w:caps/>
      <w:color w:val="008000"/>
      <w:kern w:val="28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93FA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F2485B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1F02AA"/>
    <w:pPr>
      <w:spacing w:line="360" w:lineRule="auto"/>
      <w:jc w:val="both"/>
    </w:pPr>
    <w:rPr>
      <w:rFonts w:ascii="Arial" w:hAnsi="Arial"/>
      <w:szCs w:val="20"/>
    </w:rPr>
  </w:style>
  <w:style w:type="table" w:styleId="Tabela-Siatka">
    <w:name w:val="Table Grid"/>
    <w:basedOn w:val="Standardowy"/>
    <w:rsid w:val="001F02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rzypisudolnegoZnak">
    <w:name w:val="Tekst przypisu dolnego Znak"/>
    <w:aliases w:val="Tekst przypisu Znak,Podrozdział Znak,Footnote Znak,Podrozdzia3 Znak,-E Fuﬂnotentext Znak,Fuﬂnotentext Ursprung Znak,Fußnotentext Ursprung Znak,-E Fußnotentext Znak,Footnote text Znak,Tekst przypisu Znak Znak Znak Znak Znak1"/>
    <w:link w:val="Tekstprzypisudolnego"/>
    <w:uiPriority w:val="99"/>
    <w:locked/>
    <w:rsid w:val="00CC4AC6"/>
  </w:style>
  <w:style w:type="paragraph" w:styleId="Tekstprzypisudolnego">
    <w:name w:val="footnote text"/>
    <w:aliases w:val="Tekst przypisu,Podrozdział,Footnote,Podrozdzia3,-E Fuﬂnotentext,Fuﬂnotentext Ursprung,Fußnotentext Ursprung,-E Fußnotentext,Footnote text,Tekst przypisu Znak Znak Znak Znak,Tekst przypisu Znak Znak Znak Znak Znak,Footnote Text OCR"/>
    <w:basedOn w:val="Normalny"/>
    <w:link w:val="TekstprzypisudolnegoZnak"/>
    <w:uiPriority w:val="99"/>
    <w:unhideWhenUsed/>
    <w:rsid w:val="00CC4AC6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C4AC6"/>
  </w:style>
  <w:style w:type="character" w:styleId="Odwoanieprzypisudolnego">
    <w:name w:val="footnote reference"/>
    <w:aliases w:val="Odwołanie przypisu,SUPERS,Znak Znak4,Footnote Reference Number,Footnote reference number,Footnote symbol,note TESI,EN Footnote Reference,Appel note de bas de p,Nota,Footnote number,Footnote Reference Superscript,number,stylish"/>
    <w:uiPriority w:val="99"/>
    <w:unhideWhenUsed/>
    <w:rsid w:val="00CC4AC6"/>
    <w:rPr>
      <w:vertAlign w:val="superscript"/>
    </w:rPr>
  </w:style>
  <w:style w:type="character" w:styleId="Pogrubienie">
    <w:name w:val="Strong"/>
    <w:uiPriority w:val="22"/>
    <w:qFormat/>
    <w:rsid w:val="00763383"/>
    <w:rPr>
      <w:b/>
      <w:bCs/>
    </w:rPr>
  </w:style>
  <w:style w:type="paragraph" w:customStyle="1" w:styleId="BodyText22">
    <w:name w:val="Body Text 22"/>
    <w:basedOn w:val="Normalny"/>
    <w:rsid w:val="00763383"/>
    <w:pPr>
      <w:widowControl w:val="0"/>
      <w:spacing w:before="120"/>
      <w:ind w:left="284" w:hanging="284"/>
      <w:jc w:val="both"/>
    </w:pPr>
    <w:rPr>
      <w:rFonts w:ascii="Arial" w:hAnsi="Arial"/>
      <w:szCs w:val="20"/>
    </w:rPr>
  </w:style>
  <w:style w:type="paragraph" w:styleId="Akapitzlist">
    <w:name w:val="List Paragraph"/>
    <w:aliases w:val="Dot pt,F5 List Paragraph"/>
    <w:basedOn w:val="Normalny"/>
    <w:link w:val="AkapitzlistZnak"/>
    <w:uiPriority w:val="34"/>
    <w:qFormat/>
    <w:rsid w:val="007633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aliases w:val="Nagłówek strony"/>
    <w:basedOn w:val="Normalny"/>
    <w:link w:val="NagwekZnak"/>
    <w:unhideWhenUsed/>
    <w:rsid w:val="00BA1C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link w:val="Nagwek"/>
    <w:rsid w:val="00BA1C79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BA1C7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A1C79"/>
    <w:rPr>
      <w:sz w:val="24"/>
      <w:szCs w:val="24"/>
    </w:rPr>
  </w:style>
  <w:style w:type="character" w:customStyle="1" w:styleId="Nagwek1Znak">
    <w:name w:val="Nagłówek 1 Znak"/>
    <w:link w:val="Nagwek1"/>
    <w:rsid w:val="005C6BAB"/>
    <w:rPr>
      <w:rFonts w:ascii="Tahoma" w:hAnsi="Tahoma" w:cs="Tahoma"/>
      <w:b/>
      <w:caps/>
      <w:color w:val="008000"/>
      <w:kern w:val="28"/>
      <w:sz w:val="28"/>
    </w:rPr>
  </w:style>
  <w:style w:type="character" w:styleId="Hipercze">
    <w:name w:val="Hyperlink"/>
    <w:uiPriority w:val="99"/>
    <w:unhideWhenUsed/>
    <w:rsid w:val="005C6BAB"/>
    <w:rPr>
      <w:color w:val="0000FF"/>
      <w:u w:val="single"/>
    </w:rPr>
  </w:style>
  <w:style w:type="character" w:customStyle="1" w:styleId="AkapitzlistZnak">
    <w:name w:val="Akapit z listą Znak"/>
    <w:aliases w:val="Dot pt Znak,F5 List Paragraph Znak"/>
    <w:link w:val="Akapitzlist"/>
    <w:uiPriority w:val="34"/>
    <w:locked/>
    <w:rsid w:val="005C6BAB"/>
    <w:rPr>
      <w:rFonts w:ascii="Calibri" w:eastAsia="Calibri" w:hAnsi="Calibri"/>
      <w:sz w:val="22"/>
      <w:szCs w:val="22"/>
      <w:lang w:eastAsia="en-US"/>
    </w:rPr>
  </w:style>
  <w:style w:type="paragraph" w:customStyle="1" w:styleId="ZnakZnakZnak">
    <w:name w:val="Znak Znak Znak"/>
    <w:basedOn w:val="Normalny"/>
    <w:rsid w:val="000B0F22"/>
  </w:style>
  <w:style w:type="paragraph" w:customStyle="1" w:styleId="Default">
    <w:name w:val="Default"/>
    <w:rsid w:val="000B0F2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nyWeb">
    <w:name w:val="Normal (Web)"/>
    <w:basedOn w:val="Normalny"/>
    <w:unhideWhenUsed/>
    <w:rsid w:val="000B0F22"/>
    <w:pPr>
      <w:spacing w:before="100" w:beforeAutospacing="1" w:after="100" w:afterAutospacing="1"/>
    </w:pPr>
  </w:style>
  <w:style w:type="paragraph" w:customStyle="1" w:styleId="1">
    <w:name w:val="1"/>
    <w:basedOn w:val="Normalny"/>
    <w:rsid w:val="002B5C3A"/>
  </w:style>
  <w:style w:type="paragraph" w:customStyle="1" w:styleId="BodyText21">
    <w:name w:val="Body Text 21"/>
    <w:basedOn w:val="Normalny"/>
    <w:rsid w:val="002B5C3A"/>
    <w:pPr>
      <w:tabs>
        <w:tab w:val="left" w:pos="360"/>
      </w:tabs>
      <w:spacing w:line="360" w:lineRule="auto"/>
      <w:ind w:left="360" w:hanging="360"/>
    </w:pPr>
    <w:rPr>
      <w:rFonts w:ascii="Arial" w:hAnsi="Arial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401691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93FA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5B3E3F"/>
    <w:rPr>
      <w:i/>
      <w:iCs/>
    </w:rPr>
  </w:style>
  <w:style w:type="paragraph" w:styleId="Legenda">
    <w:name w:val="caption"/>
    <w:basedOn w:val="Normalny"/>
    <w:next w:val="Normalny"/>
    <w:qFormat/>
    <w:rsid w:val="00114463"/>
    <w:pPr>
      <w:spacing w:before="120" w:after="120"/>
    </w:pPr>
    <w:rPr>
      <w:b/>
      <w:bCs/>
      <w:sz w:val="20"/>
      <w:szCs w:val="20"/>
    </w:rPr>
  </w:style>
  <w:style w:type="paragraph" w:customStyle="1" w:styleId="ZnakZnakZnakZnakZnakZnak">
    <w:name w:val="Znak Znak Znak Znak Znak Znak"/>
    <w:basedOn w:val="Normalny"/>
    <w:rsid w:val="00F44709"/>
  </w:style>
  <w:style w:type="paragraph" w:customStyle="1" w:styleId="ZnakZnakZnakZnakZnakZnak1">
    <w:name w:val="Znak Znak Znak Znak Znak Znak1"/>
    <w:basedOn w:val="Normalny"/>
    <w:rsid w:val="009A03D9"/>
  </w:style>
  <w:style w:type="paragraph" w:styleId="Zwykytekst">
    <w:name w:val="Plain Text"/>
    <w:basedOn w:val="Normalny"/>
    <w:link w:val="ZwykytekstZnak"/>
    <w:uiPriority w:val="99"/>
    <w:rsid w:val="00E2238F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2238F"/>
    <w:rPr>
      <w:rFonts w:ascii="Courier New" w:hAnsi="Courier New"/>
    </w:rPr>
  </w:style>
  <w:style w:type="character" w:customStyle="1" w:styleId="TekstpodstawowyZnak">
    <w:name w:val="Tekst podstawowy Znak"/>
    <w:link w:val="Tekstpodstawowy"/>
    <w:rsid w:val="00174C69"/>
    <w:rPr>
      <w:rFonts w:ascii="Arial" w:hAnsi="Arial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38B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38B8"/>
  </w:style>
  <w:style w:type="character" w:styleId="Odwoanieprzypisukocowego">
    <w:name w:val="endnote reference"/>
    <w:basedOn w:val="Domylnaczcionkaakapitu"/>
    <w:uiPriority w:val="99"/>
    <w:semiHidden/>
    <w:unhideWhenUsed/>
    <w:rsid w:val="008838B8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D25EA1"/>
  </w:style>
  <w:style w:type="table" w:customStyle="1" w:styleId="Tabela-Siatka1">
    <w:name w:val="Tabela - Siatka1"/>
    <w:basedOn w:val="Standardowy"/>
    <w:next w:val="Tabela-Siatka"/>
    <w:rsid w:val="00D25EA1"/>
    <w:pPr>
      <w:spacing w:line="360" w:lineRule="auto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25EA1"/>
  </w:style>
  <w:style w:type="character" w:styleId="Odwoaniedokomentarza">
    <w:name w:val="annotation reference"/>
    <w:basedOn w:val="Domylnaczcionkaakapitu"/>
    <w:uiPriority w:val="99"/>
    <w:semiHidden/>
    <w:unhideWhenUsed/>
    <w:rsid w:val="00D25E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5EA1"/>
    <w:pPr>
      <w:ind w:firstLine="567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5EA1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5E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5EA1"/>
    <w:rPr>
      <w:rFonts w:ascii="Arial" w:hAnsi="Arial"/>
      <w:b/>
      <w:bCs/>
    </w:rPr>
  </w:style>
  <w:style w:type="paragraph" w:styleId="Poprawka">
    <w:name w:val="Revision"/>
    <w:hidden/>
    <w:uiPriority w:val="99"/>
    <w:semiHidden/>
    <w:rsid w:val="00D25EA1"/>
    <w:rPr>
      <w:rFonts w:ascii="Arial" w:hAnsi="Arial"/>
      <w:sz w:val="24"/>
    </w:rPr>
  </w:style>
  <w:style w:type="character" w:styleId="Wyrnienieintensywne">
    <w:name w:val="Intense Emphasis"/>
    <w:basedOn w:val="Domylnaczcionkaakapitu"/>
    <w:uiPriority w:val="21"/>
    <w:qFormat/>
    <w:rsid w:val="00D25EA1"/>
    <w:rPr>
      <w:b/>
      <w:bCs/>
      <w:i/>
      <w:iCs/>
      <w:color w:val="4F81BD" w:themeColor="accent1"/>
    </w:rPr>
  </w:style>
  <w:style w:type="paragraph" w:styleId="Bezodstpw">
    <w:name w:val="No Spacing"/>
    <w:uiPriority w:val="1"/>
    <w:qFormat/>
    <w:rsid w:val="00D25EA1"/>
    <w:pPr>
      <w:ind w:firstLine="567"/>
    </w:pPr>
    <w:rPr>
      <w:rFonts w:ascii="Arial" w:hAnsi="Arial"/>
      <w:sz w:val="24"/>
    </w:rPr>
  </w:style>
  <w:style w:type="paragraph" w:customStyle="1" w:styleId="Standardowy2">
    <w:name w:val="Standardowy2"/>
    <w:rsid w:val="00D25EA1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E62EF"/>
    <w:pPr>
      <w:keepNext/>
      <w:keepLines/>
      <w:autoSpaceDE/>
      <w:autoSpaceDN/>
      <w:spacing w:before="480" w:after="0" w:line="276" w:lineRule="auto"/>
      <w:ind w:left="0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081BA2"/>
    <w:pPr>
      <w:tabs>
        <w:tab w:val="left" w:pos="709"/>
        <w:tab w:val="right" w:leader="dot" w:pos="9345"/>
      </w:tabs>
      <w:spacing w:after="100"/>
    </w:pPr>
    <w:rPr>
      <w:rFonts w:ascii="Arial" w:hAnsi="Arial" w:cs="Arial"/>
      <w:noProof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2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04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7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13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8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38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552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9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4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6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83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36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43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52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50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71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9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footer" Target="footer3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kowr.gov.pl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7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1587619079774867E-2"/>
          <c:y val="6.1369157821825192E-2"/>
          <c:w val="0.89989375459964449"/>
          <c:h val="0.736571057487269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'2009-2017 wykres'!$A$37:$B$37</c:f>
              <c:strCache>
                <c:ptCount val="1"/>
                <c:pt idx="0">
                  <c:v>Eksport</c:v>
                </c:pt>
              </c:strCache>
            </c:strRef>
          </c:tx>
          <c:spPr>
            <a:solidFill>
              <a:srgbClr val="FF0000"/>
            </a:solidFill>
            <a:ln w="38100">
              <a:solidFill>
                <a:srgbClr val="FF0000"/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537138083339878E-17"/>
                  <c:y val="-8.56938888336589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2.85623804277856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0"/>
                  <c:y val="-8.5693888833659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800" b="1">
                    <a:solidFill>
                      <a:sysClr val="windowText" lastClr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'2009-2017 wykres'!$D$36:$S$36</c:f>
              <c:strCache>
                <c:ptCount val="16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4">
                  <c:v>I-VII
2016</c:v>
                </c:pt>
                <c:pt idx="15">
                  <c:v>I-VII 
2017</c:v>
                </c:pt>
              </c:strCache>
            </c:strRef>
          </c:cat>
          <c:val>
            <c:numRef>
              <c:f>'2009-2017 wykres'!$D$37:$S$37</c:f>
              <c:numCache>
                <c:formatCode>0.0</c:formatCode>
                <c:ptCount val="16"/>
                <c:pt idx="0">
                  <c:v>5.2</c:v>
                </c:pt>
                <c:pt idx="1">
                  <c:v>7.1</c:v>
                </c:pt>
                <c:pt idx="2">
                  <c:v>8.5</c:v>
                </c:pt>
                <c:pt idx="3">
                  <c:v>10.1</c:v>
                </c:pt>
                <c:pt idx="4">
                  <c:v>11.7</c:v>
                </c:pt>
                <c:pt idx="5">
                  <c:v>11.5</c:v>
                </c:pt>
                <c:pt idx="6">
                  <c:v>13.507</c:v>
                </c:pt>
                <c:pt idx="7">
                  <c:v>15.2</c:v>
                </c:pt>
                <c:pt idx="8">
                  <c:v>17.893289083999999</c:v>
                </c:pt>
                <c:pt idx="9">
                  <c:v>20.427184219000001</c:v>
                </c:pt>
                <c:pt idx="10">
                  <c:v>21.876484867999999</c:v>
                </c:pt>
                <c:pt idx="11">
                  <c:v>23.886533332999996</c:v>
                </c:pt>
                <c:pt idx="12">
                  <c:v>24.332446678999997</c:v>
                </c:pt>
                <c:pt idx="14">
                  <c:v>13.612576186999998</c:v>
                </c:pt>
                <c:pt idx="15">
                  <c:v>14.894745527000001</c:v>
                </c:pt>
              </c:numCache>
            </c:numRef>
          </c:val>
        </c:ser>
        <c:ser>
          <c:idx val="1"/>
          <c:order val="1"/>
          <c:tx>
            <c:strRef>
              <c:f>'2009-2017 wykres'!$A$38:$B$38</c:f>
              <c:strCache>
                <c:ptCount val="1"/>
                <c:pt idx="0">
                  <c:v>Import</c:v>
                </c:pt>
              </c:strCache>
            </c:strRef>
          </c:tx>
          <c:spPr>
            <a:solidFill>
              <a:srgbClr val="1199FF"/>
            </a:solidFill>
            <a:ln w="38100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3.3537945610695114E-3"/>
                  <c:y val="8.56938888336589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0306918416042441E-3"/>
                  <c:y val="8.56938888336589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061383683208488E-2"/>
                  <c:y val="8.56938888336589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3041254458576909E-3"/>
                  <c:y val="8.569513966965822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844864026737399E-3"/>
                  <c:y val="8.56938888336589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1673733091055921E-3"/>
                  <c:y val="9.85554321617420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3843554705810112E-3"/>
                  <c:y val="8.56938888336589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707590007803515E-3"/>
                  <c:y val="8.56938888336589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3.3537950039017575E-3"/>
                  <c:y val="5.7129259222439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5.0306925058526365E-3"/>
                  <c:y val="5.7129259222439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5.030691841604244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5.030691841604244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2.426139040312268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5.030692505852636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8.087186217107477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5.030691841604244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800" b="1">
                    <a:solidFill>
                      <a:sysClr val="windowText" lastClr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'2009-2017 wykres'!$D$36:$S$36</c:f>
              <c:strCache>
                <c:ptCount val="16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4">
                  <c:v>I-VII
2016</c:v>
                </c:pt>
                <c:pt idx="15">
                  <c:v>I-VII 
2017</c:v>
                </c:pt>
              </c:strCache>
            </c:strRef>
          </c:cat>
          <c:val>
            <c:numRef>
              <c:f>'2009-2017 wykres'!$D$38:$S$38</c:f>
              <c:numCache>
                <c:formatCode>0.0</c:formatCode>
                <c:ptCount val="16"/>
                <c:pt idx="0">
                  <c:v>4.4000000000000004</c:v>
                </c:pt>
                <c:pt idx="1">
                  <c:v>5.4</c:v>
                </c:pt>
                <c:pt idx="2">
                  <c:v>6.4</c:v>
                </c:pt>
                <c:pt idx="3">
                  <c:v>8.1</c:v>
                </c:pt>
                <c:pt idx="4">
                  <c:v>10.3</c:v>
                </c:pt>
                <c:pt idx="5">
                  <c:v>9.3000000000000007</c:v>
                </c:pt>
                <c:pt idx="6">
                  <c:v>10.920999999999999</c:v>
                </c:pt>
                <c:pt idx="7">
                  <c:v>12.6</c:v>
                </c:pt>
                <c:pt idx="8">
                  <c:v>13.557379528</c:v>
                </c:pt>
                <c:pt idx="9">
                  <c:v>14.312568715999998</c:v>
                </c:pt>
                <c:pt idx="10">
                  <c:v>15.134443400000002</c:v>
                </c:pt>
                <c:pt idx="11">
                  <c:v>16.068419342999999</c:v>
                </c:pt>
                <c:pt idx="12">
                  <c:v>17.292394244999997</c:v>
                </c:pt>
                <c:pt idx="14">
                  <c:v>9.6664894660000016</c:v>
                </c:pt>
                <c:pt idx="15">
                  <c:v>10.751315335999999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6210688"/>
        <c:axId val="136519680"/>
      </c:barChart>
      <c:lineChart>
        <c:grouping val="standard"/>
        <c:varyColors val="0"/>
        <c:ser>
          <c:idx val="2"/>
          <c:order val="2"/>
          <c:tx>
            <c:strRef>
              <c:f>'2009-2017 wykres'!$A$39:$B$39</c:f>
              <c:strCache>
                <c:ptCount val="1"/>
                <c:pt idx="0">
                  <c:v>Saldo</c:v>
                </c:pt>
              </c:strCache>
            </c:strRef>
          </c:tx>
          <c:spPr>
            <a:ln w="44450">
              <a:solidFill>
                <a:srgbClr val="33CC33"/>
              </a:solidFill>
            </a:ln>
          </c:spPr>
          <c:marker>
            <c:symbol val="diamond"/>
            <c:size val="7"/>
            <c:spPr>
              <a:solidFill>
                <a:srgbClr val="33CC33"/>
              </a:solidFill>
              <a:ln>
                <a:solidFill>
                  <a:srgbClr val="33CC33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15"/>
              <c:layout>
                <c:manualLayout>
                  <c:x val="-2.1511159091206055E-2"/>
                  <c:y val="-4.5424958468827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pPr>
              <a:solidFill>
                <a:srgbClr val="92D050"/>
              </a:solidFill>
            </c:spPr>
            <c:txPr>
              <a:bodyPr/>
              <a:lstStyle/>
              <a:p>
                <a:pPr>
                  <a:defRPr sz="800" b="1">
                    <a:solidFill>
                      <a:sysClr val="windowText" lastClr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'2009-2017 wykres'!$D$36:$S$36</c:f>
              <c:strCache>
                <c:ptCount val="16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4">
                  <c:v>I-VII
2016</c:v>
                </c:pt>
                <c:pt idx="15">
                  <c:v>I-VII 
2017</c:v>
                </c:pt>
              </c:strCache>
            </c:strRef>
          </c:cat>
          <c:val>
            <c:numRef>
              <c:f>'2009-2017 wykres'!$D$39:$S$39</c:f>
              <c:numCache>
                <c:formatCode>0.0</c:formatCode>
                <c:ptCount val="16"/>
                <c:pt idx="0">
                  <c:v>0.8</c:v>
                </c:pt>
                <c:pt idx="1">
                  <c:v>1.7</c:v>
                </c:pt>
                <c:pt idx="2">
                  <c:v>2.1</c:v>
                </c:pt>
                <c:pt idx="3">
                  <c:v>2</c:v>
                </c:pt>
                <c:pt idx="4">
                  <c:v>1.4</c:v>
                </c:pt>
                <c:pt idx="5">
                  <c:v>2.2000000000000002</c:v>
                </c:pt>
                <c:pt idx="6">
                  <c:v>2.6</c:v>
                </c:pt>
                <c:pt idx="7">
                  <c:v>2.6</c:v>
                </c:pt>
                <c:pt idx="8">
                  <c:v>4.3359095559999998</c:v>
                </c:pt>
                <c:pt idx="9">
                  <c:v>6.1146155030000022</c:v>
                </c:pt>
                <c:pt idx="10">
                  <c:v>6.7420414679999947</c:v>
                </c:pt>
                <c:pt idx="11" formatCode="0.00">
                  <c:v>7.818113989999997</c:v>
                </c:pt>
                <c:pt idx="12" formatCode="0.00">
                  <c:v>7.0400524340000006</c:v>
                </c:pt>
                <c:pt idx="14">
                  <c:v>3.9460867209999986</c:v>
                </c:pt>
                <c:pt idx="15">
                  <c:v>4.1434301910000011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210688"/>
        <c:axId val="136519680"/>
      </c:lineChart>
      <c:catAx>
        <c:axId val="136210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l-PL"/>
          </a:p>
        </c:txPr>
        <c:crossAx val="136519680"/>
        <c:crossesAt val="0"/>
        <c:auto val="1"/>
        <c:lblAlgn val="ctr"/>
        <c:lblOffset val="100"/>
        <c:noMultiLvlLbl val="0"/>
      </c:catAx>
      <c:valAx>
        <c:axId val="136519680"/>
        <c:scaling>
          <c:orientation val="minMax"/>
          <c:max val="30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900" b="1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r>
                  <a:rPr lang="en-US" sz="900" b="1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rPr>
                  <a:t>mld </a:t>
                </a:r>
                <a:r>
                  <a:rPr lang="pl-PL" sz="900" b="1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rPr>
                  <a:t>euro</a:t>
                </a:r>
                <a:endParaRPr lang="en-US" sz="900" b="1">
                  <a:latin typeface="Verdana" panose="020B0604030504040204" pitchFamily="34" charset="0"/>
                  <a:ea typeface="Verdana" panose="020B0604030504040204" pitchFamily="34" charset="0"/>
                  <a:cs typeface="Verdana" panose="020B0604030504040204" pitchFamily="34" charset="0"/>
                </a:endParaRPr>
              </a:p>
            </c:rich>
          </c:tx>
          <c:layout>
            <c:manualLayout>
              <c:xMode val="edge"/>
              <c:yMode val="edge"/>
              <c:x val="9.8332297786724483E-3"/>
              <c:y val="0.3459180073494287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l-PL"/>
          </a:p>
        </c:txPr>
        <c:crossAx val="136210688"/>
        <c:crosses val="autoZero"/>
        <c:crossBetween val="between"/>
        <c:majorUnit val="5"/>
      </c:valAx>
      <c:spPr>
        <a:ln>
          <a:solidFill>
            <a:schemeClr val="tx1">
              <a:tint val="75000"/>
              <a:shade val="95000"/>
              <a:satMod val="105000"/>
            </a:schemeClr>
          </a:solidFill>
        </a:ln>
      </c:spPr>
    </c:plotArea>
    <c:legend>
      <c:legendPos val="b"/>
      <c:layout>
        <c:manualLayout>
          <c:xMode val="edge"/>
          <c:yMode val="edge"/>
          <c:x val="0.24859612608546436"/>
          <c:y val="0.89196634016910203"/>
          <c:w val="0.51559421308515108"/>
          <c:h val="5.7231340379030569E-2"/>
        </c:manualLayout>
      </c:layout>
      <c:overlay val="0"/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pl-PL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42768338168256"/>
          <c:y val="3.508772811104701E-2"/>
          <c:w val="0.86933720127089376"/>
          <c:h val="0.80283186593072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'IMP warzywa'!$Q$34</c:f>
              <c:strCache>
                <c:ptCount val="1"/>
                <c:pt idx="0">
                  <c:v>Eksport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5"/>
              <c:layout>
                <c:manualLayout>
                  <c:x val="-5.263157894736842E-3"/>
                  <c:y val="3.1897934646406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6.3795869292812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9.56938039392191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/>
              <a:lstStyle/>
              <a:p>
                <a:pPr>
                  <a:defRPr b="1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warzywa'!$R$33:$AC$33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 
2016</c:v>
                </c:pt>
                <c:pt idx="11">
                  <c:v>I-VII 
2017</c:v>
                </c:pt>
              </c:strCache>
            </c:strRef>
          </c:cat>
          <c:val>
            <c:numRef>
              <c:f>'IMP warzywa'!$R$34:$AC$34</c:f>
              <c:numCache>
                <c:formatCode>#,##0.0</c:formatCode>
                <c:ptCount val="12"/>
                <c:pt idx="0">
                  <c:v>859.76171999999997</c:v>
                </c:pt>
                <c:pt idx="1">
                  <c:v>1010.841091</c:v>
                </c:pt>
                <c:pt idx="2">
                  <c:v>1020.114624</c:v>
                </c:pt>
                <c:pt idx="3">
                  <c:v>1172.063823</c:v>
                </c:pt>
                <c:pt idx="4">
                  <c:v>1306.6854430000001</c:v>
                </c:pt>
                <c:pt idx="5">
                  <c:v>1307.067268</c:v>
                </c:pt>
                <c:pt idx="6">
                  <c:v>1370.2041939999999</c:v>
                </c:pt>
                <c:pt idx="7">
                  <c:v>1445.4544490000001</c:v>
                </c:pt>
                <c:pt idx="8">
                  <c:v>1416.5453600200001</c:v>
                </c:pt>
                <c:pt idx="10">
                  <c:v>812.83622100000002</c:v>
                </c:pt>
                <c:pt idx="11">
                  <c:v>825.28756299999998</c:v>
                </c:pt>
              </c:numCache>
            </c:numRef>
          </c:val>
        </c:ser>
        <c:ser>
          <c:idx val="1"/>
          <c:order val="1"/>
          <c:tx>
            <c:strRef>
              <c:f>'IMP warzywa'!$Q$35</c:f>
              <c:strCache>
                <c:ptCount val="1"/>
                <c:pt idx="0">
                  <c:v>Import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3.5087719298245615E-3"/>
                  <c:y val="5.93889015543435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543859649122807E-3"/>
                  <c:y val="-5.9391239792130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5087719298245615E-3"/>
                  <c:y val="5.9391239792130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2631578947369062E-3"/>
                  <c:y val="5.9391239792130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263157894736842E-3"/>
                  <c:y val="8.90868596881959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5087719298245615E-3"/>
                  <c:y val="8.90868596881959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263157894736842E-3"/>
                  <c:y val="5.9391239792130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8.771929824561403E-3"/>
                  <c:y val="8.90868596881959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/>
              <a:lstStyle/>
              <a:p>
                <a:pPr>
                  <a:defRPr b="1">
                    <a:solidFill>
                      <a:schemeClr val="accent6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warzywa'!$R$33:$AC$33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 
2016</c:v>
                </c:pt>
                <c:pt idx="11">
                  <c:v>I-VII 
2017</c:v>
                </c:pt>
              </c:strCache>
            </c:strRef>
          </c:cat>
          <c:val>
            <c:numRef>
              <c:f>'IMP warzywa'!$R$35:$AC$35</c:f>
              <c:numCache>
                <c:formatCode>#,##0.0</c:formatCode>
                <c:ptCount val="12"/>
                <c:pt idx="0">
                  <c:v>482.16832299999999</c:v>
                </c:pt>
                <c:pt idx="1">
                  <c:v>629.55998799999998</c:v>
                </c:pt>
                <c:pt idx="2">
                  <c:v>634.41347800000005</c:v>
                </c:pt>
                <c:pt idx="3">
                  <c:v>609.48763499999995</c:v>
                </c:pt>
                <c:pt idx="4">
                  <c:v>713.29481999999996</c:v>
                </c:pt>
                <c:pt idx="5">
                  <c:v>776.87741300000005</c:v>
                </c:pt>
                <c:pt idx="6">
                  <c:v>833.929036</c:v>
                </c:pt>
                <c:pt idx="7">
                  <c:v>896.97623099999998</c:v>
                </c:pt>
                <c:pt idx="8">
                  <c:v>905.94599330999995</c:v>
                </c:pt>
                <c:pt idx="10">
                  <c:v>564.54103999999995</c:v>
                </c:pt>
                <c:pt idx="11">
                  <c:v>644.28457100000003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547136"/>
        <c:axId val="115569408"/>
      </c:barChart>
      <c:lineChart>
        <c:grouping val="standard"/>
        <c:varyColors val="0"/>
        <c:ser>
          <c:idx val="2"/>
          <c:order val="2"/>
          <c:tx>
            <c:strRef>
              <c:f>'IMP warzywa'!$Q$36</c:f>
              <c:strCache>
                <c:ptCount val="1"/>
                <c:pt idx="0">
                  <c:v>Saldo</c:v>
                </c:pt>
              </c:strCache>
            </c:strRef>
          </c:tx>
          <c:spPr>
            <a:ln w="41275">
              <a:solidFill>
                <a:srgbClr val="FFC000"/>
              </a:solidFill>
            </a:ln>
          </c:spPr>
          <c:marker>
            <c:symbol val="diamond"/>
            <c:size val="6"/>
            <c:spPr>
              <a:solidFill>
                <a:srgbClr val="FFC000"/>
              </a:solidFill>
            </c:spPr>
          </c:marker>
          <c:dLbls>
            <c:dLbl>
              <c:idx val="0"/>
              <c:layout>
                <c:manualLayout>
                  <c:x val="-2.6457656074812111E-2"/>
                  <c:y val="4.39699936096983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1938250112732214E-2"/>
                  <c:y val="3.6553413205876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2104374560021187E-2"/>
                  <c:y val="3.63067699827723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2076595471981148E-2"/>
                  <c:y val="5.0957517573329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0467333648988119E-2"/>
                  <c:y val="3.97331488491851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0144573650819888E-2"/>
                  <c:y val="3.95164017743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1748609704775679E-2"/>
                  <c:y val="3.61061388003423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8129489606014146E-2"/>
                  <c:y val="4.13648245656650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6303770928689293E-2"/>
                  <c:y val="4.15276184354598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spPr>
              <a:solidFill>
                <a:srgbClr val="FFC000"/>
              </a:solidFill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+mn-lt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warzywa'!$R$33:$AC$33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 
2016</c:v>
                </c:pt>
                <c:pt idx="11">
                  <c:v>I-VII 
2017</c:v>
                </c:pt>
              </c:strCache>
            </c:strRef>
          </c:cat>
          <c:val>
            <c:numRef>
              <c:f>'IMP warzywa'!$R$36:$AC$36</c:f>
              <c:numCache>
                <c:formatCode>#,##0.0</c:formatCode>
                <c:ptCount val="12"/>
                <c:pt idx="0">
                  <c:v>377.59339699999998</c:v>
                </c:pt>
                <c:pt idx="1">
                  <c:v>381.28110300000003</c:v>
                </c:pt>
                <c:pt idx="2">
                  <c:v>385.70114599999999</c:v>
                </c:pt>
                <c:pt idx="3">
                  <c:v>562.576188</c:v>
                </c:pt>
                <c:pt idx="4">
                  <c:v>593.39062300000012</c:v>
                </c:pt>
                <c:pt idx="5">
                  <c:v>530.18985499999997</c:v>
                </c:pt>
                <c:pt idx="6">
                  <c:v>536.27515799999992</c:v>
                </c:pt>
                <c:pt idx="7">
                  <c:v>548.47821800000008</c:v>
                </c:pt>
                <c:pt idx="8">
                  <c:v>510.59936671000014</c:v>
                </c:pt>
                <c:pt idx="10">
                  <c:v>248.29518100000007</c:v>
                </c:pt>
                <c:pt idx="11">
                  <c:v>181.00299199999995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547136"/>
        <c:axId val="115569408"/>
      </c:lineChart>
      <c:catAx>
        <c:axId val="115547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115569408"/>
        <c:crosses val="autoZero"/>
        <c:auto val="1"/>
        <c:lblAlgn val="ctr"/>
        <c:lblOffset val="100"/>
        <c:noMultiLvlLbl val="0"/>
      </c:catAx>
      <c:valAx>
        <c:axId val="1155694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l-PL" sz="1100">
                    <a:latin typeface="Arial" panose="020B0604020202020204" pitchFamily="34" charset="0"/>
                    <a:cs typeface="Arial" panose="020B0604020202020204" pitchFamily="34" charset="0"/>
                  </a:rPr>
                  <a:t>mln</a:t>
                </a:r>
                <a:r>
                  <a:rPr lang="pl-PL" sz="1100" baseline="0">
                    <a:latin typeface="Arial" panose="020B0604020202020204" pitchFamily="34" charset="0"/>
                    <a:cs typeface="Arial" panose="020B0604020202020204" pitchFamily="34" charset="0"/>
                  </a:rPr>
                  <a:t> euro</a:t>
                </a:r>
                <a:endParaRPr lang="pl-PL" sz="1100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8.771929824561403E-3"/>
              <c:y val="0.39616014590603787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11554713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b="1">
              <a:latin typeface="Arial" panose="020B0604020202020204" pitchFamily="34" charset="0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42768338168256"/>
          <c:y val="3.508772811104701E-2"/>
          <c:w val="0.86933720127089376"/>
          <c:h val="0.826561913613804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'IMP owoce'!$Q$33</c:f>
              <c:strCache>
                <c:ptCount val="1"/>
                <c:pt idx="0">
                  <c:v>Eksport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4.273504273504273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2735042735042739E-3"/>
                  <c:y val="3.6415989888397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5470085470085479E-3"/>
                  <c:y val="1.0924796966519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173336640061513E-17"/>
                  <c:y val="-1.8207994944198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3998923211521638E-3"/>
                  <c:y val="-2.9132791910718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2626354398007942E-2"/>
                  <c:y val="6.83158235504787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2231748470465582E-2"/>
                  <c:y val="3.40956735490583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7294400699912511E-2"/>
                  <c:y val="9.56937661846852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29843865670637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06837606837606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06837606837606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/>
              <a:lstStyle/>
              <a:p>
                <a:pPr>
                  <a:defRPr b="1">
                    <a:solidFill>
                      <a:srgbClr val="00B05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owoce'!$R$32:$AC$32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 
2016</c:v>
                </c:pt>
                <c:pt idx="11">
                  <c:v>I-VII 
2017</c:v>
                </c:pt>
              </c:strCache>
            </c:strRef>
          </c:cat>
          <c:val>
            <c:numRef>
              <c:f>'IMP owoce'!$R$33:$AC$33</c:f>
              <c:numCache>
                <c:formatCode>#,##0.0</c:formatCode>
                <c:ptCount val="12"/>
                <c:pt idx="0">
                  <c:v>781.74510099999998</c:v>
                </c:pt>
                <c:pt idx="1">
                  <c:v>825.09947999999997</c:v>
                </c:pt>
                <c:pt idx="2">
                  <c:v>904.51515099999995</c:v>
                </c:pt>
                <c:pt idx="3">
                  <c:v>1212.878561</c:v>
                </c:pt>
                <c:pt idx="4">
                  <c:v>1313.6892989999999</c:v>
                </c:pt>
                <c:pt idx="5">
                  <c:v>1208.765304</c:v>
                </c:pt>
                <c:pt idx="6">
                  <c:v>1214.1681080000001</c:v>
                </c:pt>
                <c:pt idx="7">
                  <c:v>1274.433458</c:v>
                </c:pt>
                <c:pt idx="8">
                  <c:v>1121.5014430399999</c:v>
                </c:pt>
                <c:pt idx="10">
                  <c:v>758.93904299999997</c:v>
                </c:pt>
                <c:pt idx="11">
                  <c:v>770.65431699999999</c:v>
                </c:pt>
              </c:numCache>
            </c:numRef>
          </c:val>
        </c:ser>
        <c:ser>
          <c:idx val="1"/>
          <c:order val="1"/>
          <c:tx>
            <c:strRef>
              <c:f>'IMP owoce'!$Q$34</c:f>
              <c:strCache>
                <c:ptCount val="1"/>
                <c:pt idx="0">
                  <c:v>Import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7.0175438596491229E-3"/>
                  <c:y val="-2.96979581338524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543859649122807E-3"/>
                  <c:y val="-5.9391239792130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1749444780940842E-3"/>
                  <c:y val="5.93924723274319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035087719298246E-2"/>
                  <c:y val="8.90868596881959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280772595733225E-2"/>
                  <c:y val="1.6864044199262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5087719298245615E-3"/>
                  <c:y val="8.90868596881959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7055337594995747E-3"/>
                  <c:y val="5.93922374324642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1181376718154131E-5"/>
                  <c:y val="8.90871876082360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/>
              <a:lstStyle/>
              <a:p>
                <a:pPr>
                  <a:defRPr b="1">
                    <a:solidFill>
                      <a:schemeClr val="accent6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owoce'!$R$32:$AC$32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 
2016</c:v>
                </c:pt>
                <c:pt idx="11">
                  <c:v>I-VII 
2017</c:v>
                </c:pt>
              </c:strCache>
            </c:strRef>
          </c:cat>
          <c:val>
            <c:numRef>
              <c:f>'IMP owoce'!$R$34:$AC$34</c:f>
              <c:numCache>
                <c:formatCode>#,##0.0</c:formatCode>
                <c:ptCount val="12"/>
                <c:pt idx="0">
                  <c:v>944.53067599999997</c:v>
                </c:pt>
                <c:pt idx="1">
                  <c:v>1107.26486</c:v>
                </c:pt>
                <c:pt idx="2">
                  <c:v>1178.226077</c:v>
                </c:pt>
                <c:pt idx="3">
                  <c:v>1220.051905</c:v>
                </c:pt>
                <c:pt idx="4">
                  <c:v>1390.61835</c:v>
                </c:pt>
                <c:pt idx="5">
                  <c:v>1487.0978749999999</c:v>
                </c:pt>
                <c:pt idx="6">
                  <c:v>1720.8333230000001</c:v>
                </c:pt>
                <c:pt idx="7">
                  <c:v>1700.2868679999999</c:v>
                </c:pt>
                <c:pt idx="8">
                  <c:v>1703.687441736</c:v>
                </c:pt>
                <c:pt idx="10">
                  <c:v>965.309708</c:v>
                </c:pt>
                <c:pt idx="11">
                  <c:v>1063.9486380000001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758144"/>
        <c:axId val="150759680"/>
      </c:barChart>
      <c:lineChart>
        <c:grouping val="standard"/>
        <c:varyColors val="0"/>
        <c:ser>
          <c:idx val="2"/>
          <c:order val="2"/>
          <c:tx>
            <c:strRef>
              <c:f>'IMP owoce'!$Q$35</c:f>
              <c:strCache>
                <c:ptCount val="1"/>
                <c:pt idx="0">
                  <c:v>Saldo</c:v>
                </c:pt>
              </c:strCache>
            </c:strRef>
          </c:tx>
          <c:spPr>
            <a:ln w="41275">
              <a:solidFill>
                <a:srgbClr val="FFC000"/>
              </a:solidFill>
            </a:ln>
          </c:spPr>
          <c:marker>
            <c:symbol val="diamond"/>
            <c:size val="6"/>
            <c:spPr>
              <a:solidFill>
                <a:srgbClr val="FFC000"/>
              </a:solidFill>
            </c:spPr>
          </c:marker>
          <c:dLbls>
            <c:dLbl>
              <c:idx val="0"/>
              <c:layout>
                <c:manualLayout>
                  <c:x val="-5.7894736842105263E-2"/>
                  <c:y val="2.0240020108844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892802873325048E-2"/>
                  <c:y val="4.2568554209120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8037712391214256E-2"/>
                  <c:y val="3.9378730219969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675922088686283E-2"/>
                  <c:y val="6.8854088116491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3465533913523969E-2"/>
                  <c:y val="6.3575516312131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7138416908412762E-2"/>
                  <c:y val="3.3659868240300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9397016162453377E-2"/>
                  <c:y val="3.9158234396646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4476803204477489E-2"/>
                  <c:y val="4.7370994301729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7874564459930314E-2"/>
                  <c:y val="4.45213915353733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7421602787456445E-2"/>
                  <c:y val="5.9361855380497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0905923344947737E-2"/>
                  <c:y val="3.85852059973235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spPr>
              <a:solidFill>
                <a:srgbClr val="FFC000"/>
              </a:solidFill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+mn-lt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owoce'!$R$32:$AC$32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 
2016</c:v>
                </c:pt>
                <c:pt idx="11">
                  <c:v>I-VII 
2017</c:v>
                </c:pt>
              </c:strCache>
            </c:strRef>
          </c:cat>
          <c:val>
            <c:numRef>
              <c:f>'IMP owoce'!$R$35:$AC$35</c:f>
              <c:numCache>
                <c:formatCode>#,##0.0</c:formatCode>
                <c:ptCount val="12"/>
                <c:pt idx="0">
                  <c:v>-162.78557499999999</c:v>
                </c:pt>
                <c:pt idx="1">
                  <c:v>-282.16538000000003</c:v>
                </c:pt>
                <c:pt idx="2">
                  <c:v>-273.71092600000009</c:v>
                </c:pt>
                <c:pt idx="3">
                  <c:v>-7.1733440000000428</c:v>
                </c:pt>
                <c:pt idx="4">
                  <c:v>-76.929051000000072</c:v>
                </c:pt>
                <c:pt idx="5">
                  <c:v>-278.33257099999992</c:v>
                </c:pt>
                <c:pt idx="6">
                  <c:v>-506.66521499999999</c:v>
                </c:pt>
                <c:pt idx="7">
                  <c:v>-425.85340999999994</c:v>
                </c:pt>
                <c:pt idx="8">
                  <c:v>-582.18599869600007</c:v>
                </c:pt>
                <c:pt idx="10">
                  <c:v>-206.37066500000003</c:v>
                </c:pt>
                <c:pt idx="11">
                  <c:v>-293.29432100000008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758144"/>
        <c:axId val="150759680"/>
      </c:lineChart>
      <c:catAx>
        <c:axId val="150758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150759680"/>
        <c:crosses val="autoZero"/>
        <c:auto val="1"/>
        <c:lblAlgn val="ctr"/>
        <c:lblOffset val="100"/>
        <c:noMultiLvlLbl val="0"/>
      </c:catAx>
      <c:valAx>
        <c:axId val="1507596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l-PL" sz="1100">
                    <a:latin typeface="Arial" panose="020B0604020202020204" pitchFamily="34" charset="0"/>
                    <a:cs typeface="Arial" panose="020B0604020202020204" pitchFamily="34" charset="0"/>
                  </a:rPr>
                  <a:t>mln</a:t>
                </a:r>
                <a:r>
                  <a:rPr lang="pl-PL" sz="1100" baseline="0">
                    <a:latin typeface="Arial" panose="020B0604020202020204" pitchFamily="34" charset="0"/>
                    <a:cs typeface="Arial" panose="020B0604020202020204" pitchFamily="34" charset="0"/>
                  </a:rPr>
                  <a:t> euro</a:t>
                </a:r>
                <a:endParaRPr lang="pl-PL" sz="1100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8.771929824561403E-3"/>
              <c:y val="0.38131233595800518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15075814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b="1">
              <a:latin typeface="Arial" panose="020B0604020202020204" pitchFamily="34" charset="0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1308769609905635E-2"/>
          <c:y val="0.12913395642587006"/>
          <c:w val="0.89328124060828273"/>
          <c:h val="0.72119361577618846"/>
        </c:manualLayout>
      </c:layout>
      <c:ofPieChart>
        <c:ofPieType val="pie"/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bubble3D val="0"/>
            <c:spPr>
              <a:solidFill>
                <a:srgbClr val="0099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bubble3D val="0"/>
            <c:spPr>
              <a:solidFill>
                <a:schemeClr val="accent3">
                  <a:lumMod val="5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bubble3D val="0"/>
            <c:spPr>
              <a:solidFill>
                <a:srgbClr val="0099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bubble3D val="0"/>
            <c:spPr>
              <a:solidFill>
                <a:srgbClr val="00CC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6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7"/>
            <c:bubble3D val="0"/>
            <c:spPr>
              <a:solidFill>
                <a:srgbClr val="339966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8"/>
            <c:bubble3D val="0"/>
            <c:spPr>
              <a:solidFill>
                <a:schemeClr val="accent3">
                  <a:lumMod val="5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9"/>
            <c:bubble3D val="0"/>
            <c:spPr>
              <a:solidFill>
                <a:srgbClr val="33CC3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0"/>
            <c:bubble3D val="0"/>
            <c:spPr>
              <a:solidFill>
                <a:srgbClr val="0099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1"/>
            <c:bubble3D val="0"/>
            <c:spPr>
              <a:solidFill>
                <a:srgbClr val="3366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2"/>
            <c:bubble3D val="0"/>
            <c:spPr>
              <a:solidFill>
                <a:schemeClr val="accent6">
                  <a:lumMod val="50000"/>
                </a:schemeClr>
              </a:solidFill>
              <a:ln>
                <a:solidFill>
                  <a:srgbClr val="0066FF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3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4"/>
            <c:bubble3D val="0"/>
            <c:spPr>
              <a:solidFill>
                <a:srgbClr val="33CC3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5"/>
            <c:bubble3D val="0"/>
            <c:spPr>
              <a:solidFill>
                <a:srgbClr val="3333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6"/>
            <c:bubble3D val="0"/>
            <c:spPr>
              <a:solidFill>
                <a:srgbClr val="0066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-3.520967148615467E-2"/>
                  <c:y val="-1.053599734526051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4.5278115353155538E-5"/>
                  <c:y val="-3.3064877212695389E-2"/>
                </c:manualLayout>
              </c:layout>
              <c:tx>
                <c:rich>
                  <a:bodyPr/>
                  <a:lstStyle/>
                  <a:p>
                    <a:r>
                      <a:rPr lang="en-US" sz="80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  <a:t>Pozostałe</a:t>
                    </a:r>
                    <a:r>
                      <a:rPr lang="pl-PL" sz="80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  <a:t/>
                    </a:r>
                    <a:br>
                      <a:rPr lang="pl-PL" sz="80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</a:br>
                    <a:r>
                      <a:rPr lang="en-US" sz="80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  <a:t> kraje
</a:t>
                    </a:r>
                    <a:r>
                      <a:rPr lang="pl-PL" sz="80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  <a:t>9</a:t>
                    </a:r>
                    <a:r>
                      <a:rPr lang="en-US" sz="80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3.2072167172351148E-3"/>
                  <c:y val="-5.908552841939437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2.4277093530398957E-2"/>
                  <c:y val="-0.1195377336597836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2.6582797379335218E-2"/>
                  <c:y val="-6.417790930247883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9.8392739075554483E-3"/>
                  <c:y val="-7.065610516612051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9.6508985995071225E-3"/>
                  <c:y val="-6.00089168242131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3.3786860611889159E-2"/>
                  <c:y val="-3.831832506628066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3.508324818176365E-2"/>
                  <c:y val="-2.511003106993156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5.2604315681913809E-2"/>
                  <c:y val="8.0936258602194514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6.9408122733092062E-2"/>
                  <c:y val="5.939677243545891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7.1694243406266261E-2"/>
                  <c:y val="0.1186614504160124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2"/>
              <c:layout>
                <c:manualLayout>
                  <c:x val="5.5464196783094423E-2"/>
                  <c:y val="0.1697075450986131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3"/>
              <c:layout>
                <c:manualLayout>
                  <c:x val="-4.1055468216109503E-2"/>
                  <c:y val="0.170409842377091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4"/>
              <c:layout>
                <c:manualLayout>
                  <c:x val="-0.10004666827135325"/>
                  <c:y val="7.869673607641296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5"/>
              <c:layout>
                <c:manualLayout>
                  <c:x val="-4.7767233456655886E-2"/>
                  <c:y val="-6.1073672382766717E-2"/>
                </c:manualLayout>
              </c:layout>
              <c:tx>
                <c:rich>
                  <a:bodyPr/>
                  <a:lstStyle/>
                  <a:p>
                    <a:r>
                      <a:rPr lang="en-US" sz="80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  <a:t>Pozostałe</a:t>
                    </a:r>
                    <a:r>
                      <a:rPr lang="pl-PL" sz="800" baseline="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  <a:t> </a:t>
                    </a:r>
                    <a:br>
                      <a:rPr lang="pl-PL" sz="800" baseline="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</a:br>
                    <a:r>
                      <a:rPr lang="en-US" sz="80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  <a:t>kraje UE
</a:t>
                    </a:r>
                    <a:r>
                      <a:rPr lang="pl-PL" sz="80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  <a:t>10</a:t>
                    </a:r>
                    <a:r>
                      <a:rPr lang="en-US" sz="80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6"/>
              <c:layout>
                <c:manualLayout>
                  <c:x val="-9.4467382507450792E-2"/>
                  <c:y val="-4.7986759562391292E-3"/>
                </c:manualLayout>
              </c:layout>
              <c:tx>
                <c:rich>
                  <a:bodyPr/>
                  <a:lstStyle/>
                  <a:p>
                    <a:r>
                      <a:rPr lang="pl-PL" sz="80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  <a:t>UE</a:t>
                    </a:r>
                    <a:r>
                      <a:rPr lang="en-US" sz="80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  <a:t>
8</a:t>
                    </a:r>
                    <a:r>
                      <a:rPr lang="pl-PL" sz="80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  <a:t>2</a:t>
                    </a:r>
                    <a:r>
                      <a:rPr lang="en-US" sz="80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 b="1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'wykresy 2017 -2koła imp.'!$A$13:$A$28</c:f>
              <c:strCache>
                <c:ptCount val="16"/>
                <c:pt idx="0">
                  <c:v>WNP</c:v>
                </c:pt>
                <c:pt idx="1">
                  <c:v>Pozostałe kraje</c:v>
                </c:pt>
                <c:pt idx="2">
                  <c:v>Argentyna</c:v>
                </c:pt>
                <c:pt idx="3">
                  <c:v>Norwegia</c:v>
                </c:pt>
                <c:pt idx="4">
                  <c:v>Niemcy</c:v>
                </c:pt>
                <c:pt idx="5">
                  <c:v>Holandia</c:v>
                </c:pt>
                <c:pt idx="6">
                  <c:v>Hiszpania</c:v>
                </c:pt>
                <c:pt idx="7">
                  <c:v>Dania</c:v>
                </c:pt>
                <c:pt idx="8">
                  <c:v>Belgia</c:v>
                </c:pt>
                <c:pt idx="9">
                  <c:v>Francja</c:v>
                </c:pt>
                <c:pt idx="10">
                  <c:v>Włochy</c:v>
                </c:pt>
                <c:pt idx="11">
                  <c:v>Szwecja</c:v>
                </c:pt>
                <c:pt idx="12">
                  <c:v>Czechy</c:v>
                </c:pt>
                <c:pt idx="13">
                  <c:v>Wielka Brytania</c:v>
                </c:pt>
                <c:pt idx="14">
                  <c:v>Węgry</c:v>
                </c:pt>
                <c:pt idx="15">
                  <c:v>Pozostałe kraje UE</c:v>
                </c:pt>
              </c:strCache>
            </c:strRef>
          </c:cat>
          <c:val>
            <c:numRef>
              <c:f>'wykresy 2017 -2koła imp.'!$C$13:$C$28</c:f>
              <c:numCache>
                <c:formatCode>#,##0</c:formatCode>
                <c:ptCount val="16"/>
                <c:pt idx="0">
                  <c:v>348345.97499999998</c:v>
                </c:pt>
                <c:pt idx="1">
                  <c:v>913595.13199999859</c:v>
                </c:pt>
                <c:pt idx="2">
                  <c:v>440026.772</c:v>
                </c:pt>
                <c:pt idx="3">
                  <c:v>257850.37400000001</c:v>
                </c:pt>
                <c:pt idx="4">
                  <c:v>2703182.977</c:v>
                </c:pt>
                <c:pt idx="5">
                  <c:v>1271384.669</c:v>
                </c:pt>
                <c:pt idx="6">
                  <c:v>621951.02399999998</c:v>
                </c:pt>
                <c:pt idx="7">
                  <c:v>554855.96200000006</c:v>
                </c:pt>
                <c:pt idx="8">
                  <c:v>544516.57400000002</c:v>
                </c:pt>
                <c:pt idx="9">
                  <c:v>433161.005</c:v>
                </c:pt>
                <c:pt idx="10">
                  <c:v>401751.04800000001</c:v>
                </c:pt>
                <c:pt idx="11">
                  <c:v>369953.02299999999</c:v>
                </c:pt>
                <c:pt idx="12">
                  <c:v>359451.99</c:v>
                </c:pt>
                <c:pt idx="13">
                  <c:v>295489.826</c:v>
                </c:pt>
                <c:pt idx="14">
                  <c:v>232388.18900000001</c:v>
                </c:pt>
                <c:pt idx="15">
                  <c:v>1003410.7959999992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43"/>
        <c:splitType val="pos"/>
        <c:splitPos val="12"/>
        <c:secondPieSize val="60"/>
        <c:serLines/>
      </c:ofPieChart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5"/>
      <c:hPercent val="7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243719229597318"/>
          <c:y val="0.13090606349365566"/>
          <c:w val="0.59827278413008966"/>
          <c:h val="0.6520505270388347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explosion val="5"/>
          <c:dPt>
            <c:idx val="0"/>
            <c:bubble3D val="0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C00000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rgbClr val="F79646">
                  <a:lumMod val="50000"/>
                </a:srgbClr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rgbClr val="F79646">
                  <a:lumMod val="75000"/>
                </a:srgbClr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rgbClr val="FFC000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5"/>
            <c:bubble3D val="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6"/>
            <c:bubble3D val="0"/>
            <c:spPr>
              <a:solidFill>
                <a:srgbClr val="333300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7"/>
            <c:bubble3D val="0"/>
            <c:spPr>
              <a:solidFill>
                <a:srgbClr val="9BBB59">
                  <a:lumMod val="50000"/>
                </a:srgbClr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8"/>
            <c:bubble3D val="0"/>
            <c:spPr>
              <a:solidFill>
                <a:srgbClr val="9BBB59">
                  <a:lumMod val="75000"/>
                </a:srgbClr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9"/>
            <c:bubble3D val="0"/>
            <c:spPr>
              <a:solidFill>
                <a:srgbClr val="336600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10"/>
            <c:bubble3D val="0"/>
            <c:spPr>
              <a:solidFill>
                <a:srgbClr val="009900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11"/>
            <c:bubble3D val="0"/>
            <c:spPr>
              <a:solidFill>
                <a:srgbClr val="33CC33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12"/>
            <c:bubble3D val="0"/>
            <c:spPr>
              <a:solidFill>
                <a:srgbClr val="00FF99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13"/>
            <c:bubble3D val="0"/>
            <c:spPr>
              <a:solidFill>
                <a:srgbClr val="0066FF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5.9202220232747918E-2"/>
                  <c:y val="2.5550594211809106E-3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Żywiec, mięso </a:t>
                    </a:r>
                    <a:r>
                      <a:rPr lang="pl-PL" sz="900"/>
                      <a:t/>
                    </a:r>
                    <a:br>
                      <a:rPr lang="pl-PL" sz="900"/>
                    </a:br>
                    <a:r>
                      <a:rPr lang="en-US" sz="900"/>
                      <a:t>i przetwory
13%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3112121908081314E-2"/>
                  <c:y val="5.8969964386910469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3.1940664171793878E-2"/>
                  <c:y val="-5.1589639481665936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Owoce</a:t>
                    </a:r>
                    <a:r>
                      <a:rPr lang="pl-PL" sz="900"/>
                      <a:t/>
                    </a:r>
                    <a:br>
                      <a:rPr lang="pl-PL" sz="900"/>
                    </a:br>
                    <a:r>
                      <a:rPr lang="en-US" sz="900"/>
                      <a:t> (w tym orzechy)</a:t>
                    </a:r>
                    <a:r>
                      <a:rPr lang="pl-PL" sz="900"/>
                      <a:t/>
                    </a:r>
                    <a:br>
                      <a:rPr lang="pl-PL" sz="900"/>
                    </a:br>
                    <a:r>
                      <a:rPr lang="en-US" sz="900"/>
                      <a:t> i przetwory
10%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0122318239506081"/>
                  <c:y val="1.3030667598389176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Ziarno zbóż </a:t>
                    </a:r>
                    <a:r>
                      <a:rPr lang="pl-PL" sz="900"/>
                      <a:t/>
                    </a:r>
                    <a:br>
                      <a:rPr lang="pl-PL" sz="900"/>
                    </a:br>
                    <a:r>
                      <a:rPr lang="en-US" sz="900"/>
                      <a:t>i przetwory
8%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9.7608987609574246E-2"/>
                  <c:y val="8.860923189577259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6.8913569060207305E-2"/>
                  <c:y val="0.139106321241335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2.1687956070624254E-2"/>
                  <c:y val="0.1237428300593845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Warzywa</a:t>
                    </a:r>
                    <a:r>
                      <a:rPr lang="pl-PL" sz="900"/>
                      <a:t/>
                    </a:r>
                    <a:br>
                      <a:rPr lang="pl-PL" sz="900"/>
                    </a:br>
                    <a:r>
                      <a:rPr lang="en-US" sz="900"/>
                      <a:t> (w tym grzyby) </a:t>
                    </a:r>
                    <a:r>
                      <a:rPr lang="pl-PL" sz="900"/>
                      <a:t/>
                    </a:r>
                    <a:br>
                      <a:rPr lang="pl-PL" sz="900"/>
                    </a:br>
                    <a:r>
                      <a:rPr lang="en-US" sz="900"/>
                      <a:t>i przetwory
6%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-6.2594756857921097E-2"/>
                  <c:y val="0.1315332851057460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-6.6821732500634612E-2"/>
                  <c:y val="7.488983713651391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-4.3774549982884291E-2"/>
                  <c:y val="2.437119492407089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-3.5386438237753268E-2"/>
                  <c:y val="-3.553054992655809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-1.8125548287773314E-2"/>
                  <c:y val="-5.905598900058841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2"/>
              <c:layout>
                <c:manualLayout>
                  <c:x val="-5.417231082126852E-2"/>
                  <c:y val="-0.1271163155492882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3"/>
              <c:layout>
                <c:manualLayout>
                  <c:x val="8.0063067078403827E-2"/>
                  <c:y val="-0.11777558324321231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Soki owocowe</a:t>
                    </a:r>
                    <a:r>
                      <a:rPr lang="pl-PL" sz="900"/>
                      <a:t/>
                    </a:r>
                    <a:br>
                      <a:rPr lang="pl-PL" sz="900"/>
                    </a:br>
                    <a:r>
                      <a:rPr lang="en-US" sz="900"/>
                      <a:t> i warzywne
1%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4"/>
              <c:layout>
                <c:manualLayout>
                  <c:x val="0.12081838548587909"/>
                  <c:y val="-6.25802468411174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'Wykres 2017'!$A$4:$A$18</c:f>
              <c:strCache>
                <c:ptCount val="15"/>
                <c:pt idx="0">
                  <c:v>Żywiec, mięso i przetwory</c:v>
                </c:pt>
                <c:pt idx="1">
                  <c:v>Ryby i przetwory</c:v>
                </c:pt>
                <c:pt idx="2">
                  <c:v>Owoce (w tym orzechy) i przetwory</c:v>
                </c:pt>
                <c:pt idx="3">
                  <c:v>Ziarno zbóż i przetwory</c:v>
                </c:pt>
                <c:pt idx="4">
                  <c:v>Nasiona roślin oleistych, tłuszcze roślinne</c:v>
                </c:pt>
                <c:pt idx="5">
                  <c:v>Kawa, herbata, kakao</c:v>
                </c:pt>
                <c:pt idx="6">
                  <c:v>Warzywa (w tym grzyby) i przetwory</c:v>
                </c:pt>
                <c:pt idx="7">
                  <c:v>Cukier i wyroby cukiernicze</c:v>
                </c:pt>
                <c:pt idx="8">
                  <c:v>Makuchy</c:v>
                </c:pt>
                <c:pt idx="9">
                  <c:v>Produkty mleczarskie</c:v>
                </c:pt>
                <c:pt idx="10">
                  <c:v>Tytoń i wyroby tytoniowe</c:v>
                </c:pt>
                <c:pt idx="11">
                  <c:v>Produkty paszowe (bez makuchów)</c:v>
                </c:pt>
                <c:pt idx="12">
                  <c:v>Alkohol</c:v>
                </c:pt>
                <c:pt idx="13">
                  <c:v>Soki owocowe i warzywne</c:v>
                </c:pt>
                <c:pt idx="14">
                  <c:v>Pozostałe </c:v>
                </c:pt>
              </c:strCache>
            </c:strRef>
          </c:cat>
          <c:val>
            <c:numRef>
              <c:f>'Wykres 2017'!$B$4:$B$18</c:f>
              <c:numCache>
                <c:formatCode>#,##0</c:formatCode>
                <c:ptCount val="15"/>
                <c:pt idx="0">
                  <c:v>1529632.8510000003</c:v>
                </c:pt>
                <c:pt idx="1">
                  <c:v>1163980.236</c:v>
                </c:pt>
                <c:pt idx="2">
                  <c:v>1148515.5889999999</c:v>
                </c:pt>
                <c:pt idx="3">
                  <c:v>894136.27600000007</c:v>
                </c:pt>
                <c:pt idx="4">
                  <c:v>780491</c:v>
                </c:pt>
                <c:pt idx="5">
                  <c:v>773453.04399999999</c:v>
                </c:pt>
                <c:pt idx="6">
                  <c:v>690106.87300000002</c:v>
                </c:pt>
                <c:pt idx="7">
                  <c:v>600742.32299999997</c:v>
                </c:pt>
                <c:pt idx="8">
                  <c:v>572658.82299999997</c:v>
                </c:pt>
                <c:pt idx="9">
                  <c:v>566331.77099999995</c:v>
                </c:pt>
                <c:pt idx="10">
                  <c:v>459972.00199999998</c:v>
                </c:pt>
                <c:pt idx="11">
                  <c:v>439041.70699999999</c:v>
                </c:pt>
                <c:pt idx="12">
                  <c:v>394023.45699999999</c:v>
                </c:pt>
                <c:pt idx="13">
                  <c:v>118708.697</c:v>
                </c:pt>
                <c:pt idx="14">
                  <c:v>1456099.5600000005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  <a:scene3d>
      <a:camera prst="orthographicFront"/>
      <a:lightRig rig="threePt" dir="t"/>
    </a:scene3d>
    <a:sp3d>
      <a:bevelT w="0"/>
    </a:sp3d>
  </c:spPr>
  <c:txPr>
    <a:bodyPr/>
    <a:lstStyle/>
    <a:p>
      <a:pPr>
        <a:defRPr sz="11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09665035449763E-2"/>
          <c:y val="4.0456486702084363E-2"/>
          <c:w val="0.90167906482465465"/>
          <c:h val="0.8416177327149173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'wykres 2017 por.sald'!$B$16</c:f>
              <c:strCache>
                <c:ptCount val="1"/>
                <c:pt idx="0">
                  <c:v>I-VII
2016</c:v>
                </c:pt>
              </c:strCache>
            </c:strRef>
          </c:tx>
          <c:spPr>
            <a:gradFill flip="none" rotWithShape="1">
              <a:gsLst>
                <a:gs pos="0">
                  <a:srgbClr val="FF9900">
                    <a:shade val="30000"/>
                    <a:satMod val="115000"/>
                    <a:lumMod val="90000"/>
                    <a:lumOff val="10000"/>
                  </a:srgbClr>
                </a:gs>
                <a:gs pos="100000">
                  <a:srgbClr val="FF9900">
                    <a:shade val="100000"/>
                    <a:satMod val="115000"/>
                    <a:lumMod val="90000"/>
                    <a:lumOff val="10000"/>
                  </a:srgbClr>
                </a:gs>
              </a:gsLst>
              <a:lin ang="5400000" scaled="1"/>
              <a:tileRect/>
            </a:gra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cat>
            <c:strRef>
              <c:f>'wykres 2017 por.sald'!$A$17:$A$31</c:f>
              <c:strCache>
                <c:ptCount val="15"/>
                <c:pt idx="7">
                  <c:v>Warzywa (w tym grzyby) 
i przetwory</c:v>
                </c:pt>
                <c:pt idx="8">
                  <c:v>Ziarno zbóż</c:v>
                </c:pt>
                <c:pt idx="9">
                  <c:v>Wyroby cukiernicze</c:v>
                </c:pt>
                <c:pt idx="10">
                  <c:v>Produkty mleczarskie*</c:v>
                </c:pt>
                <c:pt idx="11">
                  <c:v>Przetwory zbożowo-mączne</c:v>
                </c:pt>
                <c:pt idx="12">
                  <c:v>Mięso i podroby z drobiu</c:v>
                </c:pt>
                <c:pt idx="13">
                  <c:v>Mięso czerwone, 
podroby i przetwory</c:v>
                </c:pt>
                <c:pt idx="14">
                  <c:v>Tytoń i wyroby tytoniowe</c:v>
                </c:pt>
              </c:strCache>
            </c:strRef>
          </c:cat>
          <c:val>
            <c:numRef>
              <c:f>'wykres 2017 por.sald'!$B$17:$B$31</c:f>
              <c:numCache>
                <c:formatCode>#,##0</c:formatCode>
                <c:ptCount val="15"/>
                <c:pt idx="0">
                  <c:v>-453.50762200000014</c:v>
                </c:pt>
                <c:pt idx="1">
                  <c:v>-259.35890900000004</c:v>
                </c:pt>
                <c:pt idx="2">
                  <c:v>-54.184011999999989</c:v>
                </c:pt>
                <c:pt idx="3">
                  <c:v>-186.16619799999998</c:v>
                </c:pt>
                <c:pt idx="4">
                  <c:v>-206.37066499999992</c:v>
                </c:pt>
                <c:pt idx="5" formatCode="0">
                  <c:v>-116.61343000000001</c:v>
                </c:pt>
                <c:pt idx="6">
                  <c:v>-87.385506000000021</c:v>
                </c:pt>
                <c:pt idx="7">
                  <c:v>248.29518099999987</c:v>
                </c:pt>
                <c:pt idx="8">
                  <c:v>368.13036000000011</c:v>
                </c:pt>
                <c:pt idx="9">
                  <c:v>505.17578299999991</c:v>
                </c:pt>
                <c:pt idx="10">
                  <c:v>409.53642800000006</c:v>
                </c:pt>
                <c:pt idx="11">
                  <c:v>773.84383799999989</c:v>
                </c:pt>
                <c:pt idx="12">
                  <c:v>954.64142499999991</c:v>
                </c:pt>
                <c:pt idx="13">
                  <c:v>930.621442</c:v>
                </c:pt>
                <c:pt idx="14">
                  <c:v>722.22717100000011</c:v>
                </c:pt>
              </c:numCache>
            </c:numRef>
          </c:val>
        </c:ser>
        <c:ser>
          <c:idx val="1"/>
          <c:order val="1"/>
          <c:tx>
            <c:strRef>
              <c:f>'wykres 2017 por.sald'!$C$16</c:f>
              <c:strCache>
                <c:ptCount val="1"/>
                <c:pt idx="0">
                  <c:v>I-VII
2017</c:v>
                </c:pt>
              </c:strCache>
            </c:strRef>
          </c:tx>
          <c:spPr>
            <a:solidFill>
              <a:srgbClr val="0066FF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1.4397742402997753E-17"/>
                  <c:y val="-5.1172711325669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'wykres 2017 por.sald'!$A$17:$A$31</c:f>
              <c:strCache>
                <c:ptCount val="15"/>
                <c:pt idx="7">
                  <c:v>Warzywa (w tym grzyby) 
i przetwory</c:v>
                </c:pt>
                <c:pt idx="8">
                  <c:v>Ziarno zbóż</c:v>
                </c:pt>
                <c:pt idx="9">
                  <c:v>Wyroby cukiernicze</c:v>
                </c:pt>
                <c:pt idx="10">
                  <c:v>Produkty mleczarskie*</c:v>
                </c:pt>
                <c:pt idx="11">
                  <c:v>Przetwory zbożowo-mączne</c:v>
                </c:pt>
                <c:pt idx="12">
                  <c:v>Mięso i podroby z drobiu</c:v>
                </c:pt>
                <c:pt idx="13">
                  <c:v>Mięso czerwone, 
podroby i przetwory</c:v>
                </c:pt>
                <c:pt idx="14">
                  <c:v>Tytoń i wyroby tytoniowe</c:v>
                </c:pt>
              </c:strCache>
            </c:strRef>
          </c:cat>
          <c:val>
            <c:numRef>
              <c:f>'wykres 2017 por.sald'!$C$17:$C$31</c:f>
              <c:numCache>
                <c:formatCode>0</c:formatCode>
                <c:ptCount val="15"/>
                <c:pt idx="0">
                  <c:v>-377.30887799999982</c:v>
                </c:pt>
                <c:pt idx="1">
                  <c:v>-368.21216500000003</c:v>
                </c:pt>
                <c:pt idx="2">
                  <c:v>-314.66723900000005</c:v>
                </c:pt>
                <c:pt idx="3">
                  <c:v>-310.58214699999996</c:v>
                </c:pt>
                <c:pt idx="4">
                  <c:v>-293.29432099999974</c:v>
                </c:pt>
                <c:pt idx="5">
                  <c:v>-164.487056</c:v>
                </c:pt>
                <c:pt idx="6">
                  <c:v>-138.93743899999998</c:v>
                </c:pt>
                <c:pt idx="7">
                  <c:v>181.00299199999998</c:v>
                </c:pt>
                <c:pt idx="8">
                  <c:v>258.46519799999993</c:v>
                </c:pt>
                <c:pt idx="9">
                  <c:v>433.83290999999991</c:v>
                </c:pt>
                <c:pt idx="10">
                  <c:v>706.9996010000001</c:v>
                </c:pt>
                <c:pt idx="11">
                  <c:v>821.65483899999992</c:v>
                </c:pt>
                <c:pt idx="12">
                  <c:v>990.61536000000001</c:v>
                </c:pt>
                <c:pt idx="13">
                  <c:v>1075.6960590000003</c:v>
                </c:pt>
                <c:pt idx="14">
                  <c:v>1177.627475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154278144"/>
        <c:axId val="154288128"/>
      </c:barChart>
      <c:catAx>
        <c:axId val="15427814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l-PL"/>
          </a:p>
        </c:txPr>
        <c:crossAx val="154288128"/>
        <c:crosses val="autoZero"/>
        <c:auto val="1"/>
        <c:lblAlgn val="ctr"/>
        <c:lblOffset val="100"/>
        <c:noMultiLvlLbl val="0"/>
      </c:catAx>
      <c:valAx>
        <c:axId val="154288128"/>
        <c:scaling>
          <c:orientation val="minMax"/>
        </c:scaling>
        <c:delete val="0"/>
        <c:axPos val="b"/>
        <c:majorGridlines>
          <c:spPr>
            <a:ln>
              <a:solidFill>
                <a:schemeClr val="accent1"/>
              </a:solidFill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1000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r>
                  <a:rPr lang="pl-PL" sz="1000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rPr>
                  <a:t>mln  euro</a:t>
                </a:r>
              </a:p>
            </c:rich>
          </c:tx>
          <c:layout>
            <c:manualLayout>
              <c:xMode val="edge"/>
              <c:yMode val="edge"/>
              <c:x val="0.44751622617615755"/>
              <c:y val="0.94017110627129052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l-PL"/>
          </a:p>
        </c:txPr>
        <c:crossAx val="154278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454040100648065"/>
          <c:y val="0.63555611610226614"/>
          <c:w val="0.10380699889564413"/>
          <c:h val="0.18651033240905562"/>
        </c:manualLayout>
      </c:layout>
      <c:overlay val="0"/>
      <c:spPr>
        <a:solidFill>
          <a:srgbClr val="FFFFCC"/>
        </a:solidFill>
      </c:spPr>
      <c:txPr>
        <a:bodyPr/>
        <a:lstStyle/>
        <a:p>
          <a:pPr>
            <a:defRPr sz="11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pl-PL"/>
        </a:p>
      </c:txPr>
    </c:legend>
    <c:plotVisOnly val="1"/>
    <c:dispBlanksAs val="gap"/>
    <c:showDLblsOverMax val="0"/>
  </c:chart>
  <c:txPr>
    <a:bodyPr/>
    <a:lstStyle/>
    <a:p>
      <a:pPr>
        <a:defRPr b="1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604159403738655E-2"/>
          <c:y val="0.12676240969470987"/>
          <c:w val="0.89328124060828273"/>
          <c:h val="0.72119361577618846"/>
        </c:manualLayout>
      </c:layout>
      <c:ofPieChart>
        <c:ofPieType val="pie"/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bubble3D val="0"/>
            <c:spPr>
              <a:solidFill>
                <a:srgbClr val="0099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bubble3D val="0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bubble3D val="0"/>
            <c:spPr>
              <a:solidFill>
                <a:srgbClr val="00CC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6"/>
            <c:bubble3D val="0"/>
            <c:spPr>
              <a:solidFill>
                <a:srgbClr val="FF99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7"/>
            <c:bubble3D val="0"/>
            <c:spPr>
              <a:solidFill>
                <a:srgbClr val="9933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8"/>
            <c:bubble3D val="0"/>
            <c:spPr>
              <a:solidFill>
                <a:srgbClr val="0099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9"/>
            <c:bubble3D val="0"/>
            <c:spPr>
              <a:solidFill>
                <a:srgbClr val="33CC3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0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1"/>
            <c:bubble3D val="0"/>
            <c:spPr>
              <a:solidFill>
                <a:srgbClr val="6600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2"/>
            <c:bubble3D val="0"/>
            <c:spPr>
              <a:solidFill>
                <a:srgbClr val="FF9933"/>
              </a:solidFill>
              <a:ln>
                <a:solidFill>
                  <a:srgbClr val="0066FF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3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4"/>
            <c:bubble3D val="0"/>
            <c:spPr>
              <a:solidFill>
                <a:srgbClr val="92D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5"/>
            <c:bubble3D val="0"/>
            <c:spPr>
              <a:solidFill>
                <a:srgbClr val="0066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6"/>
            <c:bubble3D val="0"/>
            <c:spPr>
              <a:solidFill>
                <a:srgbClr val="0066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6.6023742261224982E-2"/>
                  <c:y val="-3.831158985114939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8.3092012033877588E-2"/>
                  <c:y val="4.249638126968726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Pozostałe</a:t>
                    </a:r>
                    <a:r>
                      <a:rPr lang="pl-PL"/>
                      <a:t/>
                    </a:r>
                    <a:br>
                      <a:rPr lang="pl-PL"/>
                    </a:br>
                    <a:r>
                      <a:rPr lang="en-US"/>
                      <a:t> kraje
15%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4.1208525824839729E-3"/>
                  <c:y val="-9.72548105659018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8.4458448952381433E-3"/>
                  <c:y val="-4.093416631227126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5.0861430782690627E-3"/>
                  <c:y val="-7.136445876199851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2.0774782959822331E-2"/>
                  <c:y val="-4.378640935739899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2.0458308096103373E-2"/>
                  <c:y val="-3.764515022981707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2.6147789218655359E-2"/>
                  <c:y val="-5.911526779606636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2.322666397469547E-3"/>
                  <c:y val="-2.828820572029264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6.0196345649101556E-2"/>
                  <c:y val="2.538692135494071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7.3096103371693921E-2"/>
                  <c:y val="9.40340763059354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6.2548960226125577E-2"/>
                  <c:y val="0.1780645995839172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2"/>
              <c:layout>
                <c:manualLayout>
                  <c:x val="-3.0422134733158357E-2"/>
                  <c:y val="0.1694774563483119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3"/>
              <c:layout>
                <c:manualLayout>
                  <c:x val="-9.3505114745272219E-2"/>
                  <c:y val="0.1441583193104527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4"/>
              <c:layout>
                <c:manualLayout>
                  <c:x val="-0.13778366646476883"/>
                  <c:y val="9.34556501335068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5"/>
              <c:layout>
                <c:manualLayout>
                  <c:x val="-5.7169017221991129E-2"/>
                  <c:y val="-7.377577489167117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Pozostałe </a:t>
                    </a:r>
                    <a:r>
                      <a:rPr lang="pl-PL" sz="900"/>
                      <a:t/>
                    </a:r>
                    <a:br>
                      <a:rPr lang="pl-PL" sz="900"/>
                    </a:br>
                    <a:r>
                      <a:rPr lang="en-US" sz="900"/>
                      <a:t>kraje UE
10%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6"/>
              <c:layout>
                <c:manualLayout>
                  <c:x val="-8.9246498767806701E-2"/>
                  <c:y val="8.5063624521210159E-3"/>
                </c:manualLayout>
              </c:layout>
              <c:tx>
                <c:rich>
                  <a:bodyPr/>
                  <a:lstStyle/>
                  <a:p>
                    <a:r>
                      <a:rPr lang="pl-PL" sz="9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UE</a:t>
                    </a:r>
                    <a:r>
                      <a:rPr lang="en-US" sz="9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8</a:t>
                    </a:r>
                    <a:r>
                      <a:rPr lang="pl-PL" sz="9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0</a:t>
                    </a:r>
                    <a:r>
                      <a:rPr lang="en-US" sz="9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9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'wykresy 2017 -2koła eksp'!$A$11:$A$26</c:f>
              <c:strCache>
                <c:ptCount val="16"/>
                <c:pt idx="0">
                  <c:v>WNP</c:v>
                </c:pt>
                <c:pt idx="1">
                  <c:v>Pozostałe kraje</c:v>
                </c:pt>
                <c:pt idx="2">
                  <c:v>Niemcy</c:v>
                </c:pt>
                <c:pt idx="3">
                  <c:v>Wielka Brytania</c:v>
                </c:pt>
                <c:pt idx="4">
                  <c:v>Holandia</c:v>
                </c:pt>
                <c:pt idx="5">
                  <c:v>Włochy</c:v>
                </c:pt>
                <c:pt idx="6">
                  <c:v>Czechy</c:v>
                </c:pt>
                <c:pt idx="7">
                  <c:v>Francja</c:v>
                </c:pt>
                <c:pt idx="8">
                  <c:v>Hiszpania</c:v>
                </c:pt>
                <c:pt idx="9">
                  <c:v>Słowacja</c:v>
                </c:pt>
                <c:pt idx="10">
                  <c:v>Węgry</c:v>
                </c:pt>
                <c:pt idx="11">
                  <c:v>Belgia</c:v>
                </c:pt>
                <c:pt idx="12">
                  <c:v>Rumunia</c:v>
                </c:pt>
                <c:pt idx="13">
                  <c:v>Litwa</c:v>
                </c:pt>
                <c:pt idx="14">
                  <c:v>Dania</c:v>
                </c:pt>
                <c:pt idx="15">
                  <c:v>Pozostałe kraje UE</c:v>
                </c:pt>
              </c:strCache>
            </c:strRef>
          </c:cat>
          <c:val>
            <c:numRef>
              <c:f>'wykresy 2017 -2koła eksp'!$C$11:$C$26</c:f>
              <c:numCache>
                <c:formatCode>#,##0</c:formatCode>
                <c:ptCount val="16"/>
                <c:pt idx="0">
                  <c:v>760088.04599999997</c:v>
                </c:pt>
                <c:pt idx="1">
                  <c:v>2165085.0810000002</c:v>
                </c:pt>
                <c:pt idx="2">
                  <c:v>3328459.895</c:v>
                </c:pt>
                <c:pt idx="3">
                  <c:v>1307299.2620000001</c:v>
                </c:pt>
                <c:pt idx="4">
                  <c:v>926320.63300000003</c:v>
                </c:pt>
                <c:pt idx="5">
                  <c:v>856706.11699999997</c:v>
                </c:pt>
                <c:pt idx="6">
                  <c:v>804627.54500000004</c:v>
                </c:pt>
                <c:pt idx="7">
                  <c:v>798999.28300000005</c:v>
                </c:pt>
                <c:pt idx="8">
                  <c:v>387317.58899999998</c:v>
                </c:pt>
                <c:pt idx="9">
                  <c:v>376657.12800000003</c:v>
                </c:pt>
                <c:pt idx="10">
                  <c:v>374691.21899999998</c:v>
                </c:pt>
                <c:pt idx="11">
                  <c:v>363900.62300000002</c:v>
                </c:pt>
                <c:pt idx="12">
                  <c:v>339584.4</c:v>
                </c:pt>
                <c:pt idx="13">
                  <c:v>330088.99900000001</c:v>
                </c:pt>
                <c:pt idx="14">
                  <c:v>310012.34100000001</c:v>
                </c:pt>
                <c:pt idx="15">
                  <c:v>1464907.3660000004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33"/>
        <c:splitType val="pos"/>
        <c:splitPos val="14"/>
        <c:secondPieSize val="60"/>
        <c:serLines/>
      </c:ofPieChart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5"/>
      <c:hPercent val="7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71748081781094"/>
          <c:y val="0.1182105169593541"/>
          <c:w val="0.59473202319332918"/>
          <c:h val="0.70188132936657177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explosion val="5"/>
          <c:dPt>
            <c:idx val="0"/>
            <c:bubble3D val="0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C00000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rgbClr val="F79646">
                  <a:lumMod val="50000"/>
                </a:srgbClr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rgbClr val="F79646">
                  <a:lumMod val="75000"/>
                </a:srgbClr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rgbClr val="FFC000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5"/>
            <c:bubble3D val="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6"/>
            <c:bubble3D val="0"/>
            <c:spPr>
              <a:solidFill>
                <a:srgbClr val="9BBB59">
                  <a:lumMod val="50000"/>
                </a:srgbClr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7"/>
            <c:bubble3D val="0"/>
            <c:spPr>
              <a:solidFill>
                <a:srgbClr val="009900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8"/>
            <c:bubble3D val="0"/>
            <c:spPr>
              <a:solidFill>
                <a:srgbClr val="33CC33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9"/>
            <c:bubble3D val="0"/>
            <c:spPr>
              <a:solidFill>
                <a:srgbClr val="00FF99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10"/>
            <c:bubble3D val="0"/>
            <c:spPr>
              <a:solidFill>
                <a:srgbClr val="00FFFF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11"/>
            <c:bubble3D val="0"/>
            <c:spPr>
              <a:solidFill>
                <a:srgbClr val="0066FF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3.2835701288483907E-3"/>
                  <c:y val="-4.2198179996084009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Żywiec, mięso</a:t>
                    </a:r>
                    <a:r>
                      <a:rPr lang="pl-PL" sz="900"/>
                      <a:t/>
                    </a:r>
                    <a:br>
                      <a:rPr lang="pl-PL" sz="900"/>
                    </a:br>
                    <a:r>
                      <a:rPr lang="en-US" sz="900"/>
                      <a:t> i przetwory
21%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1.641245563899623E-2"/>
                  <c:y val="-0.15563677753634628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Ziarno zbóż </a:t>
                    </a:r>
                    <a:r>
                      <a:rPr lang="pl-PL" sz="900"/>
                      <a:t/>
                    </a:r>
                    <a:br>
                      <a:rPr lang="pl-PL" sz="900"/>
                    </a:br>
                    <a:r>
                      <a:rPr lang="en-US" sz="900"/>
                      <a:t>i przetwory
13%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5.2141780930387273E-2"/>
                  <c:y val="7.831355318413847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3.728594181774593E-2"/>
                  <c:y val="7.556888623884021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7.4784473574917965E-2"/>
                  <c:y val="9.499144333923359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6.6612598206304335E-3"/>
                  <c:y val="0.171697413152531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7.6544744838948672E-2"/>
                  <c:y val="0.12573142516422323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Warzywa </a:t>
                    </a:r>
                    <a:r>
                      <a:rPr lang="pl-PL" sz="900"/>
                      <a:t/>
                    </a:r>
                    <a:br>
                      <a:rPr lang="pl-PL" sz="900"/>
                    </a:br>
                    <a:r>
                      <a:rPr lang="en-US" sz="900"/>
                      <a:t>(w tym grzyby)</a:t>
                    </a:r>
                    <a:r>
                      <a:rPr lang="pl-PL" sz="900"/>
                      <a:t/>
                    </a:r>
                    <a:br>
                      <a:rPr lang="pl-PL" sz="900"/>
                    </a:br>
                    <a:r>
                      <a:rPr lang="en-US" sz="900"/>
                      <a:t> i przetwory
5%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-5.8441629654000113E-2"/>
                  <c:y val="6.9167678031152369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Owoce</a:t>
                    </a:r>
                    <a:r>
                      <a:rPr lang="pl-PL" sz="900"/>
                      <a:t/>
                    </a:r>
                    <a:br>
                      <a:rPr lang="pl-PL" sz="900"/>
                    </a:br>
                    <a:r>
                      <a:rPr lang="en-US" sz="900"/>
                      <a:t> (w tym orzechy) </a:t>
                    </a:r>
                    <a:r>
                      <a:rPr lang="pl-PL" sz="900"/>
                      <a:t/>
                    </a:r>
                    <a:br>
                      <a:rPr lang="pl-PL" sz="900"/>
                    </a:br>
                    <a:r>
                      <a:rPr lang="en-US" sz="900"/>
                      <a:t>i przetwory
5%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-6.1703079989441349E-2"/>
                  <c:y val="4.82072454252306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-7.7870697317362736E-2"/>
                  <c:y val="-6.010350607472266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Soki owocowe </a:t>
                    </a:r>
                    <a:r>
                      <a:rPr lang="pl-PL" sz="900"/>
                      <a:t/>
                    </a:r>
                    <a:br>
                      <a:rPr lang="pl-PL" sz="900"/>
                    </a:br>
                    <a:r>
                      <a:rPr lang="en-US" sz="900"/>
                      <a:t>i warzywne
2%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-2.2191532420035427E-2"/>
                  <c:y val="-0.1777364405936064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0.10109004056409726"/>
                  <c:y val="-0.1656668319036812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2"/>
              <c:layout>
                <c:manualLayout>
                  <c:x val="0.14413580364987605"/>
                  <c:y val="-6.384919122681947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3175">
                  <a:solidFill>
                    <a:srgbClr val="000000"/>
                  </a:solidFill>
                  <a:prstDash val="solid"/>
                </a:ln>
              </c:spPr>
            </c:leaderLines>
          </c:dLbls>
          <c:cat>
            <c:strRef>
              <c:f>'Wykres 2017'!$C$6:$C$18</c:f>
              <c:strCache>
                <c:ptCount val="13"/>
                <c:pt idx="0">
                  <c:v>Żywiec, mięso i przetwory</c:v>
                </c:pt>
                <c:pt idx="1">
                  <c:v>Ziarno zbóż i przetwory</c:v>
                </c:pt>
                <c:pt idx="2">
                  <c:v>Tytoń i wyroby tytoniowe</c:v>
                </c:pt>
                <c:pt idx="3">
                  <c:v>Produkty mleczarskie</c:v>
                </c:pt>
                <c:pt idx="4">
                  <c:v>Cukier i wyroby cukiernicze</c:v>
                </c:pt>
                <c:pt idx="5">
                  <c:v>Ryby i przetwory</c:v>
                </c:pt>
                <c:pt idx="6">
                  <c:v>Warzywa (w tym grzyby) i przetwory</c:v>
                </c:pt>
                <c:pt idx="7">
                  <c:v>Owoce (w tym orzechy) i przetwory</c:v>
                </c:pt>
                <c:pt idx="8">
                  <c:v>Kawa, herbata, kakao</c:v>
                </c:pt>
                <c:pt idx="9">
                  <c:v>Soki owocowe i warzywne</c:v>
                </c:pt>
                <c:pt idx="10">
                  <c:v>Nasiona roślin oleistych, tłuszcze roślinne</c:v>
                </c:pt>
                <c:pt idx="11">
                  <c:v>Alkohol</c:v>
                </c:pt>
                <c:pt idx="12">
                  <c:v>Pozostałe </c:v>
                </c:pt>
              </c:strCache>
            </c:strRef>
          </c:cat>
          <c:val>
            <c:numRef>
              <c:f>'Wykres 2017'!$E$6:$E$18</c:f>
              <c:numCache>
                <c:formatCode>#,##0</c:formatCode>
                <c:ptCount val="13"/>
                <c:pt idx="0">
                  <c:v>3115514.6069999998</c:v>
                </c:pt>
                <c:pt idx="1">
                  <c:v>1876325.3719999997</c:v>
                </c:pt>
                <c:pt idx="2">
                  <c:v>1603403.0379999999</c:v>
                </c:pt>
                <c:pt idx="3">
                  <c:v>1231734.425</c:v>
                </c:pt>
                <c:pt idx="4">
                  <c:v>1071209.5649999999</c:v>
                </c:pt>
                <c:pt idx="5">
                  <c:v>999682.06299999997</c:v>
                </c:pt>
                <c:pt idx="6">
                  <c:v>825287.56300000008</c:v>
                </c:pt>
                <c:pt idx="7">
                  <c:v>770654.31700000004</c:v>
                </c:pt>
                <c:pt idx="8">
                  <c:v>408330.48800000007</c:v>
                </c:pt>
                <c:pt idx="9">
                  <c:v>273858.79599999997</c:v>
                </c:pt>
                <c:pt idx="10">
                  <c:v>244237.182</c:v>
                </c:pt>
                <c:pt idx="11">
                  <c:v>225766.122</c:v>
                </c:pt>
                <c:pt idx="12">
                  <c:v>2248741.9890000038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102015465253675"/>
          <c:y val="3.508772811104701E-2"/>
          <c:w val="0.85575190120465716"/>
          <c:h val="0.769008865619107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'IMP drób'!$Q$33</c:f>
              <c:strCache>
                <c:ptCount val="1"/>
                <c:pt idx="0">
                  <c:v>Eksport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5"/>
              <c:layout>
                <c:manualLayout>
                  <c:x val="-5.263157894736842E-3"/>
                  <c:y val="3.1897934646406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6.3795869292812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9.56938039392191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/>
              <a:lstStyle/>
              <a:p>
                <a:pPr>
                  <a:defRPr sz="800" b="1">
                    <a:solidFill>
                      <a:schemeClr val="accent2">
                        <a:lumMod val="50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drób'!$R$32:$AC$32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
2016</c:v>
                </c:pt>
                <c:pt idx="11">
                  <c:v>I-VII
2017</c:v>
                </c:pt>
              </c:strCache>
            </c:strRef>
          </c:cat>
          <c:val>
            <c:numRef>
              <c:f>'IMP drób'!$R$33:$AC$33</c:f>
              <c:numCache>
                <c:formatCode>#,##0.0</c:formatCode>
                <c:ptCount val="12"/>
                <c:pt idx="0">
                  <c:v>586.54823299999998</c:v>
                </c:pt>
                <c:pt idx="1">
                  <c:v>731.87966600000004</c:v>
                </c:pt>
                <c:pt idx="2">
                  <c:v>904.34131100000002</c:v>
                </c:pt>
                <c:pt idx="3">
                  <c:v>1027.8327420000001</c:v>
                </c:pt>
                <c:pt idx="4">
                  <c:v>1117.2903349999999</c:v>
                </c:pt>
                <c:pt idx="5">
                  <c:v>1370.4266190000001</c:v>
                </c:pt>
                <c:pt idx="6">
                  <c:v>1655.070154</c:v>
                </c:pt>
                <c:pt idx="7">
                  <c:v>1783.5757409999999</c:v>
                </c:pt>
                <c:pt idx="8">
                  <c:v>1870</c:v>
                </c:pt>
                <c:pt idx="10">
                  <c:v>998.73480500000005</c:v>
                </c:pt>
                <c:pt idx="11">
                  <c:v>1039.0406190000001</c:v>
                </c:pt>
              </c:numCache>
            </c:numRef>
          </c:val>
        </c:ser>
        <c:ser>
          <c:idx val="1"/>
          <c:order val="1"/>
          <c:tx>
            <c:strRef>
              <c:f>'IMP drób'!$Q$34</c:f>
              <c:strCache>
                <c:ptCount val="1"/>
                <c:pt idx="0">
                  <c:v>Import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numFmt formatCode="#,##0" sourceLinked="0"/>
            <c:txPr>
              <a:bodyPr/>
              <a:lstStyle/>
              <a:p>
                <a:pPr>
                  <a:defRPr sz="800" b="1">
                    <a:solidFill>
                      <a:schemeClr val="accent2">
                        <a:lumMod val="7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drób'!$R$32:$AC$32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
2016</c:v>
                </c:pt>
                <c:pt idx="11">
                  <c:v>I-VII
2017</c:v>
                </c:pt>
              </c:strCache>
            </c:strRef>
          </c:cat>
          <c:val>
            <c:numRef>
              <c:f>'IMP drób'!$R$34:$AC$34</c:f>
              <c:numCache>
                <c:formatCode>#,##0.0</c:formatCode>
                <c:ptCount val="12"/>
                <c:pt idx="0">
                  <c:v>41.057817</c:v>
                </c:pt>
                <c:pt idx="1">
                  <c:v>35.800311000000001</c:v>
                </c:pt>
                <c:pt idx="2">
                  <c:v>35.302070000000001</c:v>
                </c:pt>
                <c:pt idx="3">
                  <c:v>40.095815000000002</c:v>
                </c:pt>
                <c:pt idx="4">
                  <c:v>44.379596999999997</c:v>
                </c:pt>
                <c:pt idx="5">
                  <c:v>54.128070000000001</c:v>
                </c:pt>
                <c:pt idx="6">
                  <c:v>63.298811000000001</c:v>
                </c:pt>
                <c:pt idx="7">
                  <c:v>83.087679999999992</c:v>
                </c:pt>
                <c:pt idx="8">
                  <c:v>82</c:v>
                </c:pt>
                <c:pt idx="10">
                  <c:v>44.093380000000003</c:v>
                </c:pt>
                <c:pt idx="11">
                  <c:v>48.425258999999997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969664"/>
        <c:axId val="139971200"/>
      </c:barChart>
      <c:lineChart>
        <c:grouping val="standard"/>
        <c:varyColors val="0"/>
        <c:ser>
          <c:idx val="2"/>
          <c:order val="2"/>
          <c:tx>
            <c:strRef>
              <c:f>'IMP drób'!$Q$35</c:f>
              <c:strCache>
                <c:ptCount val="1"/>
                <c:pt idx="0">
                  <c:v>Saldo</c:v>
                </c:pt>
              </c:strCache>
            </c:strRef>
          </c:tx>
          <c:spPr>
            <a:ln w="41275">
              <a:solidFill>
                <a:srgbClr val="C00000"/>
              </a:solidFill>
            </a:ln>
          </c:spPr>
          <c:marker>
            <c:symbol val="diamond"/>
            <c:size val="6"/>
            <c:spPr>
              <a:solidFill>
                <a:srgbClr val="C00000"/>
              </a:solidFill>
            </c:spPr>
          </c:marker>
          <c:dLbls>
            <c:dLbl>
              <c:idx val="6"/>
              <c:layout>
                <c:manualLayout>
                  <c:x val="0"/>
                  <c:y val="2.9695619896065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5.2822715597785385E-3"/>
                  <c:y val="2.6726057906458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2.9695619896065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spPr>
              <a:solidFill>
                <a:srgbClr val="D00000"/>
              </a:solidFill>
            </c:spPr>
            <c:txPr>
              <a:bodyPr/>
              <a:lstStyle/>
              <a:p>
                <a:pPr>
                  <a:defRPr sz="800" b="1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drób'!$R$32:$AC$32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
2016</c:v>
                </c:pt>
                <c:pt idx="11">
                  <c:v>I-VII
2017</c:v>
                </c:pt>
              </c:strCache>
            </c:strRef>
          </c:cat>
          <c:val>
            <c:numRef>
              <c:f>'IMP drób'!$R$35:$AC$35</c:f>
              <c:numCache>
                <c:formatCode>#,##0.0</c:formatCode>
                <c:ptCount val="12"/>
                <c:pt idx="0">
                  <c:v>545.49041599999998</c:v>
                </c:pt>
                <c:pt idx="1">
                  <c:v>696.07935500000008</c:v>
                </c:pt>
                <c:pt idx="2">
                  <c:v>869.03924100000006</c:v>
                </c:pt>
                <c:pt idx="3">
                  <c:v>987.73692700000004</c:v>
                </c:pt>
                <c:pt idx="4">
                  <c:v>1072.9107379999998</c:v>
                </c:pt>
                <c:pt idx="5">
                  <c:v>1316.2985490000001</c:v>
                </c:pt>
                <c:pt idx="6">
                  <c:v>1591.7713429999999</c:v>
                </c:pt>
                <c:pt idx="7">
                  <c:v>1700.4880609999998</c:v>
                </c:pt>
                <c:pt idx="8">
                  <c:v>1788</c:v>
                </c:pt>
                <c:pt idx="10">
                  <c:v>954.64142500000003</c:v>
                </c:pt>
                <c:pt idx="11">
                  <c:v>990.61536000000012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969664"/>
        <c:axId val="139971200"/>
      </c:lineChart>
      <c:catAx>
        <c:axId val="139969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 b="1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l-PL"/>
          </a:p>
        </c:txPr>
        <c:crossAx val="139971200"/>
        <c:crosses val="autoZero"/>
        <c:auto val="1"/>
        <c:lblAlgn val="ctr"/>
        <c:lblOffset val="90"/>
        <c:noMultiLvlLbl val="0"/>
      </c:catAx>
      <c:valAx>
        <c:axId val="1399712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r>
                  <a:rPr lang="pl-PL" sz="1100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rPr>
                  <a:t>mln</a:t>
                </a:r>
                <a:r>
                  <a:rPr lang="pl-PL" sz="1100" baseline="0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rPr>
                  <a:t> euro</a:t>
                </a:r>
                <a:endParaRPr lang="pl-PL" sz="1100">
                  <a:latin typeface="Verdana" panose="020B0604030504040204" pitchFamily="34" charset="0"/>
                  <a:ea typeface="Verdana" panose="020B0604030504040204" pitchFamily="34" charset="0"/>
                  <a:cs typeface="Verdana" panose="020B0604030504040204" pitchFamily="34" charset="0"/>
                </a:endParaRPr>
              </a:p>
            </c:rich>
          </c:tx>
          <c:layout>
            <c:manualLayout>
              <c:xMode val="edge"/>
              <c:yMode val="edge"/>
              <c:x val="2.2494784305807921E-4"/>
              <c:y val="0.39275477142672627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900" b="1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l-PL"/>
          </a:p>
        </c:txPr>
        <c:crossAx val="1399696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96498755130805"/>
          <c:y val="0.9315123137447463"/>
          <c:w val="0.60056599331799576"/>
          <c:h val="4.7700752328007995E-2"/>
        </c:manualLayout>
      </c:layout>
      <c:overlay val="0"/>
      <c:txPr>
        <a:bodyPr/>
        <a:lstStyle/>
        <a:p>
          <a:pPr>
            <a:defRPr sz="12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701163307539342"/>
          <c:y val="3.508772811104701E-2"/>
          <c:w val="0.85885734195581265"/>
          <c:h val="0.746383739894428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'IMP wołowina i cielęcina'!$Q$33</c:f>
              <c:strCache>
                <c:ptCount val="1"/>
                <c:pt idx="0">
                  <c:v>Eksport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4"/>
              <c:layout>
                <c:manualLayout>
                  <c:x val="3.5087719298245615E-3"/>
                  <c:y val="1.48478099480326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7543859649122807E-3"/>
                  <c:y val="-2.7492999900624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6.3795869292812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8.24789997018746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/>
              <a:lstStyle/>
              <a:p>
                <a:pPr>
                  <a:defRPr sz="900" b="1">
                    <a:solidFill>
                      <a:schemeClr val="accent2">
                        <a:lumMod val="50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wołowina i cielęcina'!$R$32:$AC$32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 
2016</c:v>
                </c:pt>
                <c:pt idx="11">
                  <c:v>I-VII 
2017</c:v>
                </c:pt>
              </c:strCache>
            </c:strRef>
          </c:cat>
          <c:val>
            <c:numRef>
              <c:f>'IMP wołowina i cielęcina'!$R$33:$AC$33</c:f>
              <c:numCache>
                <c:formatCode>#,##0.0</c:formatCode>
                <c:ptCount val="12"/>
                <c:pt idx="0">
                  <c:v>602.22146299999997</c:v>
                </c:pt>
                <c:pt idx="1">
                  <c:v>741.61394600000006</c:v>
                </c:pt>
                <c:pt idx="2">
                  <c:v>807.29667400000005</c:v>
                </c:pt>
                <c:pt idx="3">
                  <c:v>893.604375</c:v>
                </c:pt>
                <c:pt idx="4">
                  <c:v>949.95280300000002</c:v>
                </c:pt>
                <c:pt idx="5">
                  <c:v>955.91601900000001</c:v>
                </c:pt>
                <c:pt idx="6">
                  <c:v>1211.547544</c:v>
                </c:pt>
                <c:pt idx="7">
                  <c:v>1176.331148</c:v>
                </c:pt>
                <c:pt idx="8">
                  <c:v>1264.2</c:v>
                </c:pt>
                <c:pt idx="10">
                  <c:v>677.88131699999997</c:v>
                </c:pt>
                <c:pt idx="11">
                  <c:v>742.26591699999994</c:v>
                </c:pt>
              </c:numCache>
            </c:numRef>
          </c:val>
        </c:ser>
        <c:ser>
          <c:idx val="1"/>
          <c:order val="1"/>
          <c:tx>
            <c:strRef>
              <c:f>'IMP wołowina i cielęcina'!$Q$34</c:f>
              <c:strCache>
                <c:ptCount val="1"/>
                <c:pt idx="0">
                  <c:v>Import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6"/>
              <c:layout>
                <c:manualLayout>
                  <c:x val="6.968641114982578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8.710801393728222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8.710801393728222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/>
              <a:lstStyle/>
              <a:p>
                <a:pPr>
                  <a:defRPr sz="900" b="1">
                    <a:solidFill>
                      <a:schemeClr val="accent2">
                        <a:lumMod val="7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wołowina i cielęcina'!$R$32:$AC$32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 
2016</c:v>
                </c:pt>
                <c:pt idx="11">
                  <c:v>I-VII 
2017</c:v>
                </c:pt>
              </c:strCache>
            </c:strRef>
          </c:cat>
          <c:val>
            <c:numRef>
              <c:f>'IMP wołowina i cielęcina'!$R$34:$AC$34</c:f>
              <c:numCache>
                <c:formatCode>#,##0.0</c:formatCode>
                <c:ptCount val="12"/>
                <c:pt idx="0">
                  <c:v>26.563293000000002</c:v>
                </c:pt>
                <c:pt idx="1">
                  <c:v>38.520845999999999</c:v>
                </c:pt>
                <c:pt idx="2">
                  <c:v>40.566488</c:v>
                </c:pt>
                <c:pt idx="3">
                  <c:v>40.210672000000002</c:v>
                </c:pt>
                <c:pt idx="4">
                  <c:v>41.480153000000001</c:v>
                </c:pt>
                <c:pt idx="5">
                  <c:v>45.371810000000004</c:v>
                </c:pt>
                <c:pt idx="6">
                  <c:v>61.189830999999998</c:v>
                </c:pt>
                <c:pt idx="7">
                  <c:v>77.828560999999993</c:v>
                </c:pt>
                <c:pt idx="8">
                  <c:v>83</c:v>
                </c:pt>
                <c:pt idx="10">
                  <c:v>43.069175000000001</c:v>
                </c:pt>
                <c:pt idx="11">
                  <c:v>42.880133000000001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842304"/>
        <c:axId val="141843840"/>
      </c:barChart>
      <c:lineChart>
        <c:grouping val="standard"/>
        <c:varyColors val="0"/>
        <c:ser>
          <c:idx val="2"/>
          <c:order val="2"/>
          <c:tx>
            <c:strRef>
              <c:f>'IMP wołowina i cielęcina'!$Q$35</c:f>
              <c:strCache>
                <c:ptCount val="1"/>
                <c:pt idx="0">
                  <c:v>Saldo</c:v>
                </c:pt>
              </c:strCache>
            </c:strRef>
          </c:tx>
          <c:spPr>
            <a:ln w="41275">
              <a:solidFill>
                <a:srgbClr val="C00000"/>
              </a:solidFill>
            </a:ln>
          </c:spPr>
          <c:marker>
            <c:symbol val="diamond"/>
            <c:size val="6"/>
            <c:spPr>
              <a:solidFill>
                <a:srgbClr val="C00000"/>
              </a:solidFill>
            </c:spPr>
          </c:marker>
          <c:dLbls>
            <c:dLbl>
              <c:idx val="0"/>
              <c:layout>
                <c:manualLayout>
                  <c:x val="0"/>
                  <c:y val="1.4576456383110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2.55087986704435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9.6250005473534794E-2"/>
                  <c:y val="-7.2999602525786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9194447242028934E-2"/>
                  <c:y val="4.01497813891824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spPr>
              <a:solidFill>
                <a:srgbClr val="C00000"/>
              </a:solidFill>
            </c:spPr>
            <c:txPr>
              <a:bodyPr/>
              <a:lstStyle/>
              <a:p>
                <a:pPr>
                  <a:defRPr sz="900" b="1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wołowina i cielęcina'!$R$32:$AC$32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 
2016</c:v>
                </c:pt>
                <c:pt idx="11">
                  <c:v>I-VII 
2017</c:v>
                </c:pt>
              </c:strCache>
            </c:strRef>
          </c:cat>
          <c:val>
            <c:numRef>
              <c:f>'IMP wołowina i cielęcina'!$R$35:$AC$35</c:f>
              <c:numCache>
                <c:formatCode>#,##0.0</c:formatCode>
                <c:ptCount val="12"/>
                <c:pt idx="0">
                  <c:v>575.65816999999993</c:v>
                </c:pt>
                <c:pt idx="1">
                  <c:v>703.09310000000005</c:v>
                </c:pt>
                <c:pt idx="2">
                  <c:v>766.730186</c:v>
                </c:pt>
                <c:pt idx="3">
                  <c:v>853.39370299999996</c:v>
                </c:pt>
                <c:pt idx="4">
                  <c:v>908.47265000000004</c:v>
                </c:pt>
                <c:pt idx="5">
                  <c:v>910.54420900000002</c:v>
                </c:pt>
                <c:pt idx="6">
                  <c:v>1150.3577130000001</c:v>
                </c:pt>
                <c:pt idx="7" formatCode="#,##0">
                  <c:v>1098.5025869999999</c:v>
                </c:pt>
                <c:pt idx="8">
                  <c:v>1181.2</c:v>
                </c:pt>
                <c:pt idx="10">
                  <c:v>634.81214199999999</c:v>
                </c:pt>
                <c:pt idx="11">
                  <c:v>699.38578399999994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842304"/>
        <c:axId val="141843840"/>
      </c:lineChart>
      <c:catAx>
        <c:axId val="141842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 b="1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l-PL"/>
          </a:p>
        </c:txPr>
        <c:crossAx val="141843840"/>
        <c:crosses val="autoZero"/>
        <c:auto val="1"/>
        <c:lblAlgn val="ctr"/>
        <c:lblOffset val="100"/>
        <c:noMultiLvlLbl val="0"/>
      </c:catAx>
      <c:valAx>
        <c:axId val="1418438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pl-PL" sz="1200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rPr>
                  <a:t>mln</a:t>
                </a:r>
                <a:r>
                  <a:rPr lang="pl-PL" sz="1200" baseline="0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rPr>
                  <a:t> euro</a:t>
                </a:r>
                <a:endParaRPr lang="pl-PL" sz="1200">
                  <a:latin typeface="Verdana" panose="020B0604030504040204" pitchFamily="34" charset="0"/>
                  <a:ea typeface="Verdana" panose="020B0604030504040204" pitchFamily="34" charset="0"/>
                  <a:cs typeface="Verdana" panose="020B0604030504040204" pitchFamily="34" charset="0"/>
                </a:endParaRPr>
              </a:p>
            </c:rich>
          </c:tx>
          <c:layout>
            <c:manualLayout>
              <c:xMode val="edge"/>
              <c:yMode val="edge"/>
              <c:x val="8.771929824561403E-3"/>
              <c:y val="0.39616014590603787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900" b="1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l-PL"/>
          </a:p>
        </c:txPr>
        <c:crossAx val="14184230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667801746056512"/>
          <c:y val="3.508772811104701E-2"/>
          <c:w val="0.86580711186219295"/>
          <c:h val="0.856257608724863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'IMP wieprzowina'!$Q$33</c:f>
              <c:strCache>
                <c:ptCount val="1"/>
                <c:pt idx="0">
                  <c:v>Eksport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4.273504273504273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0683760683760684E-2"/>
                  <c:y val="3.64159898883978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54700854700854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49572649572649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54700854700854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594690086816071E-2"/>
                  <c:y val="1.77560925814893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2820681068712566E-2"/>
                  <c:y val="6.37967999233830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683928931960428E-2"/>
                  <c:y val="1.6852574596148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2820512820512742E-2"/>
                  <c:y val="7.28319797767957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2820512820512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49572649572649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/>
              <a:lstStyle/>
              <a:p>
                <a:pPr>
                  <a:defRPr sz="900" b="1">
                    <a:solidFill>
                      <a:schemeClr val="accent2">
                        <a:lumMod val="50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wieprzowina'!$R$32:$AC$32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 
2016</c:v>
                </c:pt>
                <c:pt idx="11">
                  <c:v>I-VII 
2017</c:v>
                </c:pt>
              </c:strCache>
            </c:strRef>
          </c:cat>
          <c:val>
            <c:numRef>
              <c:f>'IMP wieprzowina'!$R$33:$AC$33</c:f>
              <c:numCache>
                <c:formatCode>#,##0.0</c:formatCode>
                <c:ptCount val="12"/>
                <c:pt idx="0">
                  <c:v>267.182096</c:v>
                </c:pt>
                <c:pt idx="1">
                  <c:v>440.11244099999999</c:v>
                </c:pt>
                <c:pt idx="2">
                  <c:v>584.53556100000003</c:v>
                </c:pt>
                <c:pt idx="3">
                  <c:v>767.67743099999996</c:v>
                </c:pt>
                <c:pt idx="4">
                  <c:v>925.08683599999995</c:v>
                </c:pt>
                <c:pt idx="5">
                  <c:v>704.460148</c:v>
                </c:pt>
                <c:pt idx="6">
                  <c:v>703.15426400000001</c:v>
                </c:pt>
                <c:pt idx="7">
                  <c:v>796.32295299999998</c:v>
                </c:pt>
                <c:pt idx="8">
                  <c:v>949</c:v>
                </c:pt>
                <c:pt idx="10">
                  <c:v>439.90257200000002</c:v>
                </c:pt>
                <c:pt idx="11">
                  <c:v>564.251711</c:v>
                </c:pt>
              </c:numCache>
            </c:numRef>
          </c:val>
        </c:ser>
        <c:ser>
          <c:idx val="1"/>
          <c:order val="1"/>
          <c:tx>
            <c:strRef>
              <c:f>'IMP wieprzowina'!$Q$34</c:f>
              <c:strCache>
                <c:ptCount val="1"/>
                <c:pt idx="0">
                  <c:v>Import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numFmt formatCode="#,##0" sourceLinked="0"/>
            <c:txPr>
              <a:bodyPr/>
              <a:lstStyle/>
              <a:p>
                <a:pPr>
                  <a:defRPr sz="900" b="1">
                    <a:solidFill>
                      <a:schemeClr val="accent2">
                        <a:lumMod val="7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wieprzowina'!$R$32:$AC$32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 
2016</c:v>
                </c:pt>
                <c:pt idx="11">
                  <c:v>I-VII 
2017</c:v>
                </c:pt>
              </c:strCache>
            </c:strRef>
          </c:cat>
          <c:val>
            <c:numRef>
              <c:f>'IMP wieprzowina'!$R$34:$AC$34</c:f>
              <c:numCache>
                <c:formatCode>#,##0.0</c:formatCode>
                <c:ptCount val="12"/>
                <c:pt idx="0">
                  <c:v>965.94282199999998</c:v>
                </c:pt>
                <c:pt idx="1">
                  <c:v>982.19559400000003</c:v>
                </c:pt>
                <c:pt idx="2">
                  <c:v>1119.621251</c:v>
                </c:pt>
                <c:pt idx="3">
                  <c:v>1241.6203370000001</c:v>
                </c:pt>
                <c:pt idx="4">
                  <c:v>1304.2002660000001</c:v>
                </c:pt>
                <c:pt idx="5">
                  <c:v>1253.9328989999999</c:v>
                </c:pt>
                <c:pt idx="6">
                  <c:v>1237.152018</c:v>
                </c:pt>
                <c:pt idx="7">
                  <c:v>1315.1108819999999</c:v>
                </c:pt>
                <c:pt idx="8">
                  <c:v>1404</c:v>
                </c:pt>
                <c:pt idx="10">
                  <c:v>713.00837100000001</c:v>
                </c:pt>
                <c:pt idx="11">
                  <c:v>811.779899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134400"/>
        <c:axId val="140714368"/>
      </c:barChart>
      <c:lineChart>
        <c:grouping val="standard"/>
        <c:varyColors val="0"/>
        <c:ser>
          <c:idx val="2"/>
          <c:order val="2"/>
          <c:tx>
            <c:strRef>
              <c:f>'IMP wieprzowina'!$Q$35</c:f>
              <c:strCache>
                <c:ptCount val="1"/>
                <c:pt idx="0">
                  <c:v>Saldo</c:v>
                </c:pt>
              </c:strCache>
            </c:strRef>
          </c:tx>
          <c:spPr>
            <a:ln w="41275">
              <a:solidFill>
                <a:srgbClr val="C00000"/>
              </a:solidFill>
            </a:ln>
          </c:spPr>
          <c:marker>
            <c:symbol val="diamond"/>
            <c:size val="6"/>
            <c:spPr>
              <a:solidFill>
                <a:srgbClr val="C00000"/>
              </a:solidFill>
            </c:spPr>
          </c:marker>
          <c:dLbls>
            <c:dLbl>
              <c:idx val="0"/>
              <c:layout>
                <c:manualLayout>
                  <c:x val="-1.0683760683760684E-2"/>
                  <c:y val="3.50878098477438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6085790884718499E-2"/>
                  <c:y val="5.7416282363531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1852412679184333E-2"/>
                  <c:y val="5.4226563084680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1447721179624599E-2"/>
                  <c:y val="5.1036695434250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7199172218857259E-2"/>
                  <c:y val="5.69643573481015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6085790884718499E-2"/>
                  <c:y val="5.7416282363531468E-2"/>
                </c:manualLayout>
              </c:layout>
              <c:tx>
                <c:rich>
                  <a:bodyPr/>
                  <a:lstStyle/>
                  <a:p>
                    <a:r>
                      <a:rPr lang="en-US" sz="90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  <a:t>-5</a:t>
                    </a:r>
                    <a:r>
                      <a:rPr lang="pl-PL" sz="900">
                        <a:latin typeface="Verdana" panose="020B0604030504040204" pitchFamily="34" charset="0"/>
                        <a:ea typeface="Verdana" panose="020B0604030504040204" pitchFamily="34" charset="0"/>
                        <a:cs typeface="Verdana" panose="020B0604030504040204" pitchFamily="34" charset="0"/>
                      </a:rPr>
                      <a:t>50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3619302949061663E-3"/>
                  <c:y val="5.1036695434250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5.3619302949061663E-3"/>
                  <c:y val="4.1467315040328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3.1496062992125983E-4"/>
                  <c:y val="3.5634623176225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4.7515142337976983E-2"/>
                  <c:y val="4.4543350655301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4404414920623198E-2"/>
                  <c:y val="4.45434298440979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spPr>
              <a:solidFill>
                <a:srgbClr val="C00000"/>
              </a:solidFill>
            </c:spPr>
            <c:txPr>
              <a:bodyPr/>
              <a:lstStyle/>
              <a:p>
                <a:pPr>
                  <a:defRPr sz="900" b="1">
                    <a:solidFill>
                      <a:srgbClr val="FFFFFF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wieprzowina'!$R$32:$AC$32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 
2016</c:v>
                </c:pt>
                <c:pt idx="11">
                  <c:v>I-VII 
2017</c:v>
                </c:pt>
              </c:strCache>
            </c:strRef>
          </c:cat>
          <c:val>
            <c:numRef>
              <c:f>'IMP wieprzowina'!$R$35:$AC$35</c:f>
              <c:numCache>
                <c:formatCode>#,##0.0</c:formatCode>
                <c:ptCount val="12"/>
                <c:pt idx="0">
                  <c:v>-698.76072599999998</c:v>
                </c:pt>
                <c:pt idx="1">
                  <c:v>-542.08315300000004</c:v>
                </c:pt>
                <c:pt idx="2">
                  <c:v>-535.08569</c:v>
                </c:pt>
                <c:pt idx="3">
                  <c:v>-473.94290600000011</c:v>
                </c:pt>
                <c:pt idx="4">
                  <c:v>-379.11343000000011</c:v>
                </c:pt>
                <c:pt idx="5">
                  <c:v>-549.4727509999999</c:v>
                </c:pt>
                <c:pt idx="6">
                  <c:v>-533.99775399999999</c:v>
                </c:pt>
                <c:pt idx="7">
                  <c:v>-518.78792899999996</c:v>
                </c:pt>
                <c:pt idx="8">
                  <c:v>-455</c:v>
                </c:pt>
                <c:pt idx="10">
                  <c:v>-273.10579899999999</c:v>
                </c:pt>
                <c:pt idx="11">
                  <c:v>-247.528188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134400"/>
        <c:axId val="140714368"/>
      </c:lineChart>
      <c:catAx>
        <c:axId val="134134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 b="1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l-PL"/>
          </a:p>
        </c:txPr>
        <c:crossAx val="140714368"/>
        <c:crosses val="autoZero"/>
        <c:auto val="1"/>
        <c:lblAlgn val="ctr"/>
        <c:lblOffset val="100"/>
        <c:noMultiLvlLbl val="0"/>
      </c:catAx>
      <c:valAx>
        <c:axId val="1407143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pl-PL" sz="1000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rPr>
                  <a:t>mln</a:t>
                </a:r>
                <a:r>
                  <a:rPr lang="pl-PL" sz="1000" baseline="0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rPr>
                  <a:t> euro</a:t>
                </a:r>
                <a:endParaRPr lang="pl-PL" sz="1000">
                  <a:latin typeface="Verdana" panose="020B0604030504040204" pitchFamily="34" charset="0"/>
                  <a:ea typeface="Verdana" panose="020B0604030504040204" pitchFamily="34" charset="0"/>
                  <a:cs typeface="Verdana" panose="020B0604030504040204" pitchFamily="34" charset="0"/>
                </a:endParaRPr>
              </a:p>
            </c:rich>
          </c:tx>
          <c:layout>
            <c:manualLayout>
              <c:xMode val="edge"/>
              <c:yMode val="edge"/>
              <c:x val="2.1246933853459238E-4"/>
              <c:y val="0.39589352587299492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900" b="1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l-PL"/>
          </a:p>
        </c:txPr>
        <c:crossAx val="1341344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6903932519333698"/>
          <c:y val="0.92148735305636909"/>
          <c:w val="0.69549676320387266"/>
          <c:h val="6.0695275005991735E-2"/>
        </c:manualLayout>
      </c:layout>
      <c:overlay val="0"/>
      <c:txPr>
        <a:bodyPr/>
        <a:lstStyle/>
        <a:p>
          <a:pPr>
            <a:defRPr sz="12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843467890508027"/>
          <c:y val="3.508772811104701E-2"/>
          <c:w val="0.86744082705779779"/>
          <c:h val="0.75826198785285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'IMP przetwory mięsne'!$Q$33</c:f>
              <c:strCache>
                <c:ptCount val="1"/>
                <c:pt idx="0">
                  <c:v>Eksport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5"/>
              <c:layout>
                <c:manualLayout>
                  <c:x val="-5.263157894736842E-3"/>
                  <c:y val="3.1897934646406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6.3795869292812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9.56938039392191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/>
              <a:lstStyle/>
              <a:p>
                <a:pPr>
                  <a:defRPr sz="900" b="1">
                    <a:solidFill>
                      <a:schemeClr val="accent2">
                        <a:lumMod val="50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przetwory mięsne'!$R$32:$AC$32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 
2016</c:v>
                </c:pt>
                <c:pt idx="11">
                  <c:v>I-VII 
2017</c:v>
                </c:pt>
              </c:strCache>
            </c:strRef>
          </c:cat>
          <c:val>
            <c:numRef>
              <c:f>'IMP przetwory mięsne'!$R$33:$AC$33</c:f>
              <c:numCache>
                <c:formatCode>#,##0.0</c:formatCode>
                <c:ptCount val="12"/>
                <c:pt idx="0">
                  <c:v>386.522581</c:v>
                </c:pt>
                <c:pt idx="1">
                  <c:v>468.34849200000002</c:v>
                </c:pt>
                <c:pt idx="2">
                  <c:v>524.92197799999997</c:v>
                </c:pt>
                <c:pt idx="3">
                  <c:v>640.13911499999995</c:v>
                </c:pt>
                <c:pt idx="4">
                  <c:v>768.96425899999997</c:v>
                </c:pt>
                <c:pt idx="5">
                  <c:v>833.155529</c:v>
                </c:pt>
                <c:pt idx="6">
                  <c:v>897.431961</c:v>
                </c:pt>
                <c:pt idx="7">
                  <c:v>950.90029000000004</c:v>
                </c:pt>
                <c:pt idx="8">
                  <c:v>1003.1998059499999</c:v>
                </c:pt>
                <c:pt idx="10">
                  <c:v>542.33510200000001</c:v>
                </c:pt>
                <c:pt idx="11">
                  <c:v>591.83220300000005</c:v>
                </c:pt>
              </c:numCache>
            </c:numRef>
          </c:val>
        </c:ser>
        <c:ser>
          <c:idx val="1"/>
          <c:order val="1"/>
          <c:tx>
            <c:strRef>
              <c:f>'IMP przetwory mięsne'!$Q$34</c:f>
              <c:strCache>
                <c:ptCount val="1"/>
                <c:pt idx="0">
                  <c:v>Import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8.5594309258979068E-3"/>
                  <c:y val="-3.64411409577764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699288657372383E-2"/>
                  <c:y val="-3.64411409577764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55943092589790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839146388846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71188618517958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2839146388846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06992886573723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8.5594309258978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8.55943092589790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06992886573723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71188618517958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/>
              <a:lstStyle/>
              <a:p>
                <a:pPr>
                  <a:defRPr sz="900" b="1">
                    <a:solidFill>
                      <a:schemeClr val="accent2">
                        <a:lumMod val="7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przetwory mięsne'!$R$32:$AC$32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 
2016</c:v>
                </c:pt>
                <c:pt idx="11">
                  <c:v>I-VII 
2017</c:v>
                </c:pt>
              </c:strCache>
            </c:strRef>
          </c:cat>
          <c:val>
            <c:numRef>
              <c:f>'IMP przetwory mięsne'!$R$34:$AC$34</c:f>
              <c:numCache>
                <c:formatCode>#,##0.0</c:formatCode>
                <c:ptCount val="12"/>
                <c:pt idx="0">
                  <c:v>78.712068000000002</c:v>
                </c:pt>
                <c:pt idx="1">
                  <c:v>87.384386000000006</c:v>
                </c:pt>
                <c:pt idx="2">
                  <c:v>101.973591</c:v>
                </c:pt>
                <c:pt idx="3">
                  <c:v>99.275999999999996</c:v>
                </c:pt>
                <c:pt idx="4">
                  <c:v>113.34577400000001</c:v>
                </c:pt>
                <c:pt idx="5">
                  <c:v>115.743554</c:v>
                </c:pt>
                <c:pt idx="6">
                  <c:v>113.31459700000001</c:v>
                </c:pt>
                <c:pt idx="7">
                  <c:v>113.752055</c:v>
                </c:pt>
                <c:pt idx="8">
                  <c:v>114.2</c:v>
                </c:pt>
                <c:pt idx="10">
                  <c:v>60.751108000000002</c:v>
                </c:pt>
                <c:pt idx="11">
                  <c:v>69.324776999999997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815744"/>
        <c:axId val="140854400"/>
      </c:barChart>
      <c:lineChart>
        <c:grouping val="standard"/>
        <c:varyColors val="0"/>
        <c:ser>
          <c:idx val="2"/>
          <c:order val="2"/>
          <c:tx>
            <c:strRef>
              <c:f>'IMP przetwory mięsne'!$Q$35</c:f>
              <c:strCache>
                <c:ptCount val="1"/>
                <c:pt idx="0">
                  <c:v>Saldo</c:v>
                </c:pt>
              </c:strCache>
            </c:strRef>
          </c:tx>
          <c:spPr>
            <a:ln w="41275">
              <a:solidFill>
                <a:srgbClr val="C00000"/>
              </a:solidFill>
            </a:ln>
          </c:spPr>
          <c:marker>
            <c:symbol val="diamond"/>
            <c:size val="6"/>
            <c:spPr>
              <a:solidFill>
                <a:srgbClr val="C00000"/>
              </a:solidFill>
            </c:spPr>
          </c:marker>
          <c:dLbls>
            <c:numFmt formatCode="#,##0" sourceLinked="0"/>
            <c:spPr>
              <a:solidFill>
                <a:srgbClr val="D00000"/>
              </a:solidFill>
            </c:spPr>
            <c:txPr>
              <a:bodyPr/>
              <a:lstStyle/>
              <a:p>
                <a:pPr>
                  <a:defRPr sz="900" b="1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przetwory mięsne'!$R$32:$AC$32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
szacunek</c:v>
                </c:pt>
                <c:pt idx="10">
                  <c:v>I-VII 
2016</c:v>
                </c:pt>
                <c:pt idx="11">
                  <c:v>I-VII 
2017</c:v>
                </c:pt>
              </c:strCache>
            </c:strRef>
          </c:cat>
          <c:val>
            <c:numRef>
              <c:f>'IMP przetwory mięsne'!$R$35:$AC$35</c:f>
              <c:numCache>
                <c:formatCode>#,##0.0</c:formatCode>
                <c:ptCount val="12"/>
                <c:pt idx="0">
                  <c:v>307.81051300000001</c:v>
                </c:pt>
                <c:pt idx="1">
                  <c:v>380.96410600000002</c:v>
                </c:pt>
                <c:pt idx="2">
                  <c:v>422.94838699999997</c:v>
                </c:pt>
                <c:pt idx="3">
                  <c:v>540.86311499999999</c:v>
                </c:pt>
                <c:pt idx="4">
                  <c:v>655.61848499999996</c:v>
                </c:pt>
                <c:pt idx="5">
                  <c:v>717.41197499999998</c:v>
                </c:pt>
                <c:pt idx="6">
                  <c:v>784.11736399999995</c:v>
                </c:pt>
                <c:pt idx="7">
                  <c:v>837.148235</c:v>
                </c:pt>
                <c:pt idx="8">
                  <c:v>888.99980594999988</c:v>
                </c:pt>
                <c:pt idx="10">
                  <c:v>481.58399400000002</c:v>
                </c:pt>
                <c:pt idx="11">
                  <c:v>522.50742600000001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815744"/>
        <c:axId val="140854400"/>
      </c:lineChart>
      <c:catAx>
        <c:axId val="140815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 b="1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l-PL"/>
          </a:p>
        </c:txPr>
        <c:crossAx val="140854400"/>
        <c:crosses val="autoZero"/>
        <c:auto val="1"/>
        <c:lblAlgn val="ctr"/>
        <c:lblOffset val="100"/>
        <c:noMultiLvlLbl val="0"/>
      </c:catAx>
      <c:valAx>
        <c:axId val="1408544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l-PL" sz="1100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rPr>
                  <a:t>mln</a:t>
                </a:r>
                <a:r>
                  <a:rPr lang="pl-PL" sz="1100" baseline="0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rPr>
                  <a:t> euro</a:t>
                </a:r>
                <a:endParaRPr lang="pl-PL" sz="1100">
                  <a:latin typeface="Verdana" panose="020B0604030504040204" pitchFamily="34" charset="0"/>
                  <a:ea typeface="Verdana" panose="020B0604030504040204" pitchFamily="34" charset="0"/>
                  <a:cs typeface="Verdana" panose="020B0604030504040204" pitchFamily="34" charset="0"/>
                </a:endParaRPr>
              </a:p>
            </c:rich>
          </c:tx>
          <c:layout>
            <c:manualLayout>
              <c:xMode val="edge"/>
              <c:yMode val="edge"/>
              <c:x val="8.7719002644324993E-3"/>
              <c:y val="0.32543588301462317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900" b="1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l-PL"/>
          </a:p>
        </c:txPr>
        <c:crossAx val="14081574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452000960648817"/>
          <c:y val="3.5087704247174473E-2"/>
          <c:w val="0.86381801712698747"/>
          <c:h val="0.856257608724863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'IMP zboża'!$A$11</c:f>
              <c:strCache>
                <c:ptCount val="1"/>
                <c:pt idx="0">
                  <c:v>Eksport</c:v>
                </c:pt>
              </c:strCache>
            </c:strRef>
          </c:tx>
          <c:spPr>
            <a:solidFill>
              <a:srgbClr val="92D05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2"/>
              <c:layout>
                <c:manualLayout>
                  <c:x val="-1.282051282051282E-2"/>
                  <c:y val="1.3271604696371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263157894736842E-3"/>
                  <c:y val="3.1897934646406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6.3795869292812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9.56938039392191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2832850804670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zboża'!$B$10:$M$10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szacunek</c:v>
                </c:pt>
                <c:pt idx="10">
                  <c:v>2016
I-VII</c:v>
                </c:pt>
                <c:pt idx="11">
                  <c:v>2017
I-VII</c:v>
                </c:pt>
              </c:strCache>
            </c:strRef>
          </c:cat>
          <c:val>
            <c:numRef>
              <c:f>'IMP zboża'!$B$11:$M$11</c:f>
              <c:numCache>
                <c:formatCode>#,##0.0</c:formatCode>
                <c:ptCount val="12"/>
                <c:pt idx="0">
                  <c:v>415.44250899999997</c:v>
                </c:pt>
                <c:pt idx="1">
                  <c:v>310.05623000000003</c:v>
                </c:pt>
                <c:pt idx="2">
                  <c:v>316.52845000000002</c:v>
                </c:pt>
                <c:pt idx="3">
                  <c:v>664.11394900000005</c:v>
                </c:pt>
                <c:pt idx="4">
                  <c:v>826.16779199999996</c:v>
                </c:pt>
                <c:pt idx="5">
                  <c:v>1009.7751919999999</c:v>
                </c:pt>
                <c:pt idx="6">
                  <c:v>1131.3788589999999</c:v>
                </c:pt>
                <c:pt idx="7">
                  <c:v>1072.7267730000001</c:v>
                </c:pt>
                <c:pt idx="8">
                  <c:v>1150</c:v>
                </c:pt>
                <c:pt idx="10">
                  <c:v>563.00930300000005</c:v>
                </c:pt>
                <c:pt idx="11">
                  <c:v>491.55907200000001</c:v>
                </c:pt>
              </c:numCache>
            </c:numRef>
          </c:val>
        </c:ser>
        <c:ser>
          <c:idx val="1"/>
          <c:order val="1"/>
          <c:tx>
            <c:strRef>
              <c:f>'IMP zboża'!$A$12</c:f>
              <c:strCache>
                <c:ptCount val="1"/>
                <c:pt idx="0">
                  <c:v>Import</c:v>
                </c:pt>
              </c:strCache>
            </c:strRef>
          </c:tx>
          <c:spPr>
            <a:solidFill>
              <a:srgbClr val="9966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1.48478099480326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049749211053105E-2"/>
                  <c:y val="1.25815440177517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6798497455732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263157894736842E-3"/>
                  <c:y val="5.9391239792130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719764304137705E-3"/>
                  <c:y val="5.13314032186810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25860381443670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3.1465095360917652E-3"/>
                  <c:y val="7.69971048280216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2586038144367061E-2"/>
                  <c:y val="1.314750826455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1012783376321294E-2"/>
                  <c:y val="7.69971048280216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4159292912412942E-2"/>
                  <c:y val="1.5399420965604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zboża'!$B$10:$M$10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szacunek</c:v>
                </c:pt>
                <c:pt idx="10">
                  <c:v>2016
I-VII</c:v>
                </c:pt>
                <c:pt idx="11">
                  <c:v>2017
I-VII</c:v>
                </c:pt>
              </c:strCache>
            </c:strRef>
          </c:cat>
          <c:val>
            <c:numRef>
              <c:f>'IMP zboża'!$B$12:$M$12</c:f>
              <c:numCache>
                <c:formatCode>#,##0.0</c:formatCode>
                <c:ptCount val="12"/>
                <c:pt idx="0">
                  <c:v>162.69991999999999</c:v>
                </c:pt>
                <c:pt idx="1">
                  <c:v>206.72648899999999</c:v>
                </c:pt>
                <c:pt idx="2">
                  <c:v>378.53154999999998</c:v>
                </c:pt>
                <c:pt idx="3">
                  <c:v>365.54290900000001</c:v>
                </c:pt>
                <c:pt idx="4">
                  <c:v>276.34015099999999</c:v>
                </c:pt>
                <c:pt idx="5">
                  <c:v>299.42618299999998</c:v>
                </c:pt>
                <c:pt idx="6">
                  <c:v>259.13243999999997</c:v>
                </c:pt>
                <c:pt idx="7">
                  <c:v>295.130314</c:v>
                </c:pt>
                <c:pt idx="8">
                  <c:v>450</c:v>
                </c:pt>
                <c:pt idx="10">
                  <c:v>194.87894299999999</c:v>
                </c:pt>
                <c:pt idx="11">
                  <c:v>233.093874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271424"/>
        <c:axId val="141272960"/>
      </c:barChart>
      <c:lineChart>
        <c:grouping val="standard"/>
        <c:varyColors val="0"/>
        <c:ser>
          <c:idx val="2"/>
          <c:order val="2"/>
          <c:tx>
            <c:strRef>
              <c:f>'IMP zboża'!$A$13</c:f>
              <c:strCache>
                <c:ptCount val="1"/>
                <c:pt idx="0">
                  <c:v>Saldo</c:v>
                </c:pt>
              </c:strCache>
            </c:strRef>
          </c:tx>
          <c:spPr>
            <a:ln w="41275">
              <a:solidFill>
                <a:srgbClr val="FFC000"/>
              </a:solidFill>
            </a:ln>
          </c:spPr>
          <c:marker>
            <c:symbol val="diamond"/>
            <c:size val="6"/>
            <c:spPr>
              <a:solidFill>
                <a:srgbClr val="FFC000"/>
              </a:solidFill>
            </c:spPr>
          </c:marker>
          <c:dLbls>
            <c:dLbl>
              <c:idx val="0"/>
              <c:layout>
                <c:manualLayout>
                  <c:x val="-2.6916318241085465E-3"/>
                  <c:y val="-1.8364190064738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247548003867939E-2"/>
                  <c:y val="2.1781620281874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809651474530832E-2"/>
                  <c:y val="5.4226488898890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1447721179624599E-2"/>
                  <c:y val="5.1036695434250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697430584334853E-2"/>
                  <c:y val="6.0605954322524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6085785329465394E-2"/>
                  <c:y val="5.1477240177939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3619302949061663E-3"/>
                  <c:y val="5.1036695434250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47366833439083E-2"/>
                  <c:y val="4.1467345331505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2.7238676003026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-4.3631692735878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spPr>
              <a:solidFill>
                <a:srgbClr val="FFC000"/>
              </a:solidFill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zboża'!$B$10:$M$10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 szacunek</c:v>
                </c:pt>
                <c:pt idx="10">
                  <c:v>2016
I-VII</c:v>
                </c:pt>
                <c:pt idx="11">
                  <c:v>2017
I-VII</c:v>
                </c:pt>
              </c:strCache>
            </c:strRef>
          </c:cat>
          <c:val>
            <c:numRef>
              <c:f>'IMP zboża'!$B$13:$M$13</c:f>
              <c:numCache>
                <c:formatCode>#,##0.0</c:formatCode>
                <c:ptCount val="12"/>
                <c:pt idx="0">
                  <c:v>252.74258899999998</c:v>
                </c:pt>
                <c:pt idx="1">
                  <c:v>103.32974100000004</c:v>
                </c:pt>
                <c:pt idx="2">
                  <c:v>-62.003099999999961</c:v>
                </c:pt>
                <c:pt idx="3">
                  <c:v>298.57104000000004</c:v>
                </c:pt>
                <c:pt idx="4">
                  <c:v>549.82764099999997</c:v>
                </c:pt>
                <c:pt idx="5">
                  <c:v>710.34900900000002</c:v>
                </c:pt>
                <c:pt idx="6">
                  <c:v>872.24641899999995</c:v>
                </c:pt>
                <c:pt idx="7">
                  <c:v>777.5964590000001</c:v>
                </c:pt>
                <c:pt idx="8">
                  <c:v>700</c:v>
                </c:pt>
                <c:pt idx="10">
                  <c:v>368.13036000000005</c:v>
                </c:pt>
                <c:pt idx="11">
                  <c:v>258.46519799999999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271424"/>
        <c:axId val="141272960"/>
      </c:lineChart>
      <c:catAx>
        <c:axId val="141271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pl-PL"/>
          </a:p>
        </c:txPr>
        <c:crossAx val="141272960"/>
        <c:crosses val="autoZero"/>
        <c:auto val="1"/>
        <c:lblAlgn val="ctr"/>
        <c:lblOffset val="100"/>
        <c:noMultiLvlLbl val="0"/>
      </c:catAx>
      <c:valAx>
        <c:axId val="1412729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l-PL"/>
                  <a:t>mln euro</a:t>
                </a:r>
              </a:p>
            </c:rich>
          </c:tx>
          <c:layout>
            <c:manualLayout>
              <c:xMode val="edge"/>
              <c:yMode val="edge"/>
              <c:x val="8.771929824561403E-3"/>
              <c:y val="0.39616014590603787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crossAx val="1412714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Verdana" panose="020B0604030504040204" pitchFamily="34" charset="0"/>
          <a:ea typeface="Verdana" panose="020B0604030504040204" pitchFamily="34" charset="0"/>
          <a:cs typeface="Verdana" panose="020B0604030504040204" pitchFamily="34" charset="0"/>
        </a:defRPr>
      </a:pPr>
      <a:endParaRPr lang="pl-PL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066109715149691"/>
          <c:y val="4.5881474745500313E-2"/>
          <c:w val="0.85321223128520118"/>
          <c:h val="0.796866293717739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'IMP produkty mleczarskie'!$E$33</c:f>
              <c:strCache>
                <c:ptCount val="1"/>
                <c:pt idx="0">
                  <c:v>Eksport</c:v>
                </c:pt>
              </c:strCache>
            </c:strRef>
          </c:tx>
          <c:spPr>
            <a:solidFill>
              <a:srgbClr val="0070C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4"/>
              <c:layout>
                <c:manualLayout>
                  <c:x val="-5.2631578947368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263157894736842E-3"/>
                  <c:y val="3.18959016537187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7543859649122807E-3"/>
                  <c:y val="6.37964797830115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0175438596491229E-3"/>
                  <c:y val="9.56923814367302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produkty mleczarskie'!$F$32:$Q$32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
szacunek</c:v>
                </c:pt>
                <c:pt idx="10">
                  <c:v>I-VII 
2016</c:v>
                </c:pt>
                <c:pt idx="11">
                  <c:v>I-VII 
2017 </c:v>
                </c:pt>
              </c:strCache>
            </c:strRef>
          </c:cat>
          <c:val>
            <c:numRef>
              <c:f>'IMP produkty mleczarskie'!$F$33:$Q$33</c:f>
              <c:numCache>
                <c:formatCode>#,##0.0</c:formatCode>
                <c:ptCount val="12"/>
                <c:pt idx="0">
                  <c:v>925.35976800000003</c:v>
                </c:pt>
                <c:pt idx="1">
                  <c:v>1185.0594799999999</c:v>
                </c:pt>
                <c:pt idx="2">
                  <c:v>1370.4048290000001</c:v>
                </c:pt>
                <c:pt idx="3">
                  <c:v>1419.1957</c:v>
                </c:pt>
                <c:pt idx="4">
                  <c:v>1696.868199</c:v>
                </c:pt>
                <c:pt idx="5">
                  <c:v>1896.0366550000001</c:v>
                </c:pt>
                <c:pt idx="6">
                  <c:v>1635.701646</c:v>
                </c:pt>
                <c:pt idx="7">
                  <c:v>1576.5336580000001</c:v>
                </c:pt>
                <c:pt idx="8">
                  <c:v>2120</c:v>
                </c:pt>
                <c:pt idx="10" formatCode="General">
                  <c:v>882.46706700000004</c:v>
                </c:pt>
                <c:pt idx="11" formatCode="General">
                  <c:v>1231.7344250000001</c:v>
                </c:pt>
              </c:numCache>
            </c:numRef>
          </c:val>
        </c:ser>
        <c:ser>
          <c:idx val="1"/>
          <c:order val="1"/>
          <c:tx>
            <c:strRef>
              <c:f>'IMP produkty mleczarskie'!$E$34</c:f>
              <c:strCache>
                <c:ptCount val="1"/>
                <c:pt idx="0">
                  <c:v>Import</c:v>
                </c:pt>
              </c:strCache>
            </c:strRef>
          </c:tx>
          <c:spPr>
            <a:solidFill>
              <a:srgbClr val="66CCFF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'IMP produkty mleczarskie'!$F$32:$Q$32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
szacunek</c:v>
                </c:pt>
                <c:pt idx="10">
                  <c:v>I-VII 
2016</c:v>
                </c:pt>
                <c:pt idx="11">
                  <c:v>I-VII 
2017 </c:v>
                </c:pt>
              </c:strCache>
            </c:strRef>
          </c:cat>
          <c:val>
            <c:numRef>
              <c:f>'IMP produkty mleczarskie'!$F$34:$Q$34</c:f>
              <c:numCache>
                <c:formatCode>#,##0.0</c:formatCode>
                <c:ptCount val="12"/>
                <c:pt idx="0">
                  <c:v>273.29209400000002</c:v>
                </c:pt>
                <c:pt idx="1">
                  <c:v>385.41611499999999</c:v>
                </c:pt>
                <c:pt idx="2">
                  <c:v>477.78243600000002</c:v>
                </c:pt>
                <c:pt idx="3">
                  <c:v>477.09742599999998</c:v>
                </c:pt>
                <c:pt idx="4">
                  <c:v>661.17544499999997</c:v>
                </c:pt>
                <c:pt idx="5">
                  <c:v>759.61960199999999</c:v>
                </c:pt>
                <c:pt idx="6">
                  <c:v>755.17638499999998</c:v>
                </c:pt>
                <c:pt idx="7">
                  <c:v>852.39394900000002</c:v>
                </c:pt>
                <c:pt idx="8">
                  <c:v>960</c:v>
                </c:pt>
                <c:pt idx="10" formatCode="General">
                  <c:v>472.93063899999999</c:v>
                </c:pt>
                <c:pt idx="11" formatCode="General">
                  <c:v>524.734824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358208"/>
        <c:axId val="141359744"/>
      </c:barChart>
      <c:lineChart>
        <c:grouping val="standard"/>
        <c:varyColors val="0"/>
        <c:ser>
          <c:idx val="2"/>
          <c:order val="2"/>
          <c:tx>
            <c:strRef>
              <c:f>'IMP produkty mleczarskie'!$E$35</c:f>
              <c:strCache>
                <c:ptCount val="1"/>
                <c:pt idx="0">
                  <c:v>Saldo</c:v>
                </c:pt>
              </c:strCache>
            </c:strRef>
          </c:tx>
          <c:spPr>
            <a:ln w="41275">
              <a:solidFill>
                <a:srgbClr val="3399FF"/>
              </a:solidFill>
            </a:ln>
          </c:spPr>
          <c:marker>
            <c:symbol val="diamond"/>
            <c:size val="6"/>
            <c:spPr>
              <a:solidFill>
                <a:srgbClr val="3399FF"/>
              </a:solidFill>
            </c:spPr>
          </c:marker>
          <c:dLbls>
            <c:dLbl>
              <c:idx val="0"/>
              <c:layout>
                <c:manualLayout>
                  <c:x val="-5.263157894736842E-3"/>
                  <c:y val="3.2118268067271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05083575079431E-3"/>
                  <c:y val="3.662943022990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9385274209144908E-4"/>
                  <c:y val="3.9378730219969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039922641248147E-3"/>
                  <c:y val="3.6188672407040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9216742644010957E-3"/>
                  <c:y val="3.3879662592287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0822627434728553E-2"/>
                  <c:y val="5.74163641571529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4133858267716536E-2"/>
                  <c:y val="3.3219110417433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5.3619284431551317E-3"/>
                  <c:y val="3.5528120232187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2632960353638722E-3"/>
                  <c:y val="4.15738678544914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spPr>
              <a:solidFill>
                <a:srgbClr val="66CCFF"/>
              </a:solidFill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'IMP produkty mleczarskie'!$F$32:$Q$32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
szacunek</c:v>
                </c:pt>
                <c:pt idx="10">
                  <c:v>I-VII 
2016</c:v>
                </c:pt>
                <c:pt idx="11">
                  <c:v>I-VII 
2017 </c:v>
                </c:pt>
              </c:strCache>
            </c:strRef>
          </c:cat>
          <c:val>
            <c:numRef>
              <c:f>'IMP produkty mleczarskie'!$F$35:$Q$35</c:f>
              <c:numCache>
                <c:formatCode>#,##0.0</c:formatCode>
                <c:ptCount val="12"/>
                <c:pt idx="0">
                  <c:v>652.06767400000001</c:v>
                </c:pt>
                <c:pt idx="1">
                  <c:v>799.6433649999999</c:v>
                </c:pt>
                <c:pt idx="2">
                  <c:v>892.6223930000001</c:v>
                </c:pt>
                <c:pt idx="3">
                  <c:v>942.09827399999995</c:v>
                </c:pt>
                <c:pt idx="4">
                  <c:v>1035.6927540000001</c:v>
                </c:pt>
                <c:pt idx="5">
                  <c:v>1136.4170530000001</c:v>
                </c:pt>
                <c:pt idx="6">
                  <c:v>880.525261</c:v>
                </c:pt>
                <c:pt idx="7">
                  <c:v>724.13970900000004</c:v>
                </c:pt>
                <c:pt idx="8">
                  <c:v>1160</c:v>
                </c:pt>
                <c:pt idx="10">
                  <c:v>409.53642800000006</c:v>
                </c:pt>
                <c:pt idx="11">
                  <c:v>706.9996010000001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358208"/>
        <c:axId val="141359744"/>
      </c:lineChart>
      <c:catAx>
        <c:axId val="141358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pl-PL"/>
          </a:p>
        </c:txPr>
        <c:crossAx val="141359744"/>
        <c:crossesAt val="0"/>
        <c:auto val="1"/>
        <c:lblAlgn val="ctr"/>
        <c:lblOffset val="100"/>
        <c:noMultiLvlLbl val="0"/>
      </c:catAx>
      <c:valAx>
        <c:axId val="141359744"/>
        <c:scaling>
          <c:orientation val="minMax"/>
          <c:max val="24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l-PL"/>
                  <a:t>mln euro</a:t>
                </a:r>
              </a:p>
            </c:rich>
          </c:tx>
          <c:layout>
            <c:manualLayout>
              <c:xMode val="edge"/>
              <c:yMode val="edge"/>
              <c:x val="8.771929824561403E-3"/>
              <c:y val="0.39616014590603787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crossAx val="141358208"/>
        <c:crosses val="autoZero"/>
        <c:crossBetween val="between"/>
        <c:majorUnit val="300"/>
      </c:valAx>
    </c:plotArea>
    <c:legend>
      <c:legendPos val="b"/>
      <c:layout>
        <c:manualLayout>
          <c:xMode val="edge"/>
          <c:yMode val="edge"/>
          <c:x val="0.23238251139660174"/>
          <c:y val="0.9315123137447463"/>
          <c:w val="0.44400690703135792"/>
          <c:h val="5.0670314317614533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Verdana" panose="020B0604030504040204" pitchFamily="34" charset="0"/>
          <a:ea typeface="Verdana" panose="020B0604030504040204" pitchFamily="34" charset="0"/>
          <a:cs typeface="Verdana" panose="020B060403050404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0.09105</cdr:x>
      <cdr:y>0.93055</cdr:y>
    </cdr:from>
    <cdr:to>
      <cdr:x>0.9213</cdr:x>
      <cdr:y>1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653914" y="3885142"/>
          <a:ext cx="5962795" cy="2899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0.88625</cdr:y>
    </cdr:from>
    <cdr:to>
      <cdr:x>0</cdr:x>
      <cdr:y>0.88649</cdr:y>
    </cdr:to>
    <cdr:sp macro="" textlink="">
      <cdr:nvSpPr>
        <cdr:cNvPr id="2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3819524"/>
          <a:ext cx="4863103" cy="3762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endParaRPr lang="pl-PL" sz="1025" b="0" i="1" u="none" strike="noStrike" baseline="0">
            <a:solidFill>
              <a:srgbClr val="000000"/>
            </a:solidFill>
            <a:latin typeface="Arial"/>
            <a:cs typeface="Arial"/>
          </a:endParaRPr>
        </a:p>
        <a:p xmlns:a="http://schemas.openxmlformats.org/drawingml/2006/main">
          <a:pPr algn="l" rtl="0">
            <a:defRPr sz="1000"/>
          </a:pPr>
          <a:r>
            <a:rPr lang="pl-PL" sz="1025" b="0" i="1" u="none" strike="noStrike" baseline="0">
              <a:solidFill>
                <a:srgbClr val="000000"/>
              </a:solidFill>
              <a:latin typeface="Arial"/>
              <a:cs typeface="Arial"/>
            </a:rPr>
            <a:t>Źródło: opracowanie ARR na podstawie wstępnych danych Ministerstwa Finansów.</a:t>
          </a:r>
          <a:endParaRPr lang="pl-PL"/>
        </a:p>
      </cdr:txBody>
    </cdr:sp>
  </cdr:relSizeAnchor>
  <cdr:relSizeAnchor xmlns:cdr="http://schemas.openxmlformats.org/drawingml/2006/chartDrawing">
    <cdr:from>
      <cdr:x>0.20611</cdr:x>
      <cdr:y>0.44664</cdr:y>
    </cdr:from>
    <cdr:to>
      <cdr:x>0.37659</cdr:x>
      <cdr:y>0.52628</cdr:y>
    </cdr:to>
    <cdr:sp macro="" textlink="">
      <cdr:nvSpPr>
        <cdr:cNvPr id="4" name="Prostokąt zaokrąglony 3"/>
        <cdr:cNvSpPr/>
      </cdr:nvSpPr>
      <cdr:spPr>
        <a:xfrm xmlns:a="http://schemas.openxmlformats.org/drawingml/2006/main">
          <a:off x="1714500" y="2391835"/>
          <a:ext cx="1418166" cy="426508"/>
        </a:xfrm>
        <a:prstGeom xmlns:a="http://schemas.openxmlformats.org/drawingml/2006/main" prst="roundRect">
          <a:avLst/>
        </a:prstGeom>
        <a:solidFill xmlns:a="http://schemas.openxmlformats.org/drawingml/2006/main">
          <a:schemeClr val="accent3">
            <a:lumMod val="40000"/>
            <a:lumOff val="60000"/>
          </a:schemeClr>
        </a:solidFill>
        <a:ln xmlns:a="http://schemas.openxmlformats.org/drawingml/2006/main" w="6350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9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14,9 mld euro</a:t>
          </a:r>
        </a:p>
      </cdr:txBody>
    </cdr:sp>
  </cdr:relSizeAnchor>
  <cdr:relSizeAnchor xmlns:cdr="http://schemas.openxmlformats.org/drawingml/2006/chartDrawing">
    <cdr:from>
      <cdr:x>0.66424</cdr:x>
      <cdr:y>0.4503</cdr:y>
    </cdr:from>
    <cdr:to>
      <cdr:x>0.82022</cdr:x>
      <cdr:y>0.52599</cdr:y>
    </cdr:to>
    <cdr:sp macro="" textlink="">
      <cdr:nvSpPr>
        <cdr:cNvPr id="5" name="Prostokąt zaokrąglony 4"/>
        <cdr:cNvSpPr/>
      </cdr:nvSpPr>
      <cdr:spPr>
        <a:xfrm xmlns:a="http://schemas.openxmlformats.org/drawingml/2006/main">
          <a:off x="3952192" y="1720518"/>
          <a:ext cx="928073" cy="289196"/>
        </a:xfrm>
        <a:prstGeom xmlns:a="http://schemas.openxmlformats.org/drawingml/2006/main" prst="roundRect">
          <a:avLst/>
        </a:prstGeom>
        <a:solidFill xmlns:a="http://schemas.openxmlformats.org/drawingml/2006/main">
          <a:schemeClr val="accent3">
            <a:lumMod val="40000"/>
            <a:lumOff val="60000"/>
          </a:schemeClr>
        </a:solidFill>
        <a:ln xmlns:a="http://schemas.openxmlformats.org/drawingml/2006/main" w="6350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9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12 mld euro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0.43339</cdr:x>
      <cdr:y>0.41131</cdr:y>
    </cdr:from>
    <cdr:to>
      <cdr:x>0.64285</cdr:x>
      <cdr:y>0.48303</cdr:y>
    </cdr:to>
    <cdr:sp macro="" textlink="">
      <cdr:nvSpPr>
        <cdr:cNvPr id="274433" name="AutoShape 1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98640" y="2045279"/>
          <a:ext cx="1642566" cy="356638"/>
        </a:xfrm>
        <a:prstGeom xmlns:a="http://schemas.openxmlformats.org/drawingml/2006/main" prst="flowChartAlternateProcess">
          <a:avLst/>
        </a:prstGeom>
        <a:solidFill xmlns:a="http://schemas.openxmlformats.org/drawingml/2006/main">
          <a:srgbClr xmlns:mc="http://schemas.openxmlformats.org/markup-compatibility/2006" xmlns:a14="http://schemas.microsoft.com/office/drawing/2010/main" val="FFFF99" mc:Ignorable="a14" a14:legacySpreadsheetColorIndex="43"/>
        </a:solidFill>
        <a:ln xmlns:a="http://schemas.openxmlformats.org/drawingml/2006/main" w="9525">
          <a:solidFill>
            <a:srgbClr xmlns:mc="http://schemas.openxmlformats.org/markup-compatibility/2006" xmlns:a14="http://schemas.microsoft.com/office/drawing/2010/main" val="000000" mc:Ignorable="a14" a14:legacySpreadsheetColorIndex="64"/>
          </a:solidFill>
          <a:miter lim="800000"/>
          <a:headEnd/>
          <a:tailEnd/>
        </a:ln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1100" b="1" i="0" u="none" strike="noStrike" baseline="0">
              <a:solidFill>
                <a:srgbClr val="000000"/>
              </a:solidFill>
              <a:latin typeface="Arial"/>
              <a:cs typeface="Arial"/>
            </a:rPr>
            <a:t>14,9 mld euro</a:t>
          </a:r>
          <a:endParaRPr lang="pl-PL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0.74618</cdr:x>
      <cdr:y>0.93977</cdr:y>
    </cdr:from>
    <cdr:to>
      <cdr:x>0.988</cdr:x>
      <cdr:y>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593265" y="3317357"/>
          <a:ext cx="1488557" cy="2126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8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0.88625</cdr:y>
    </cdr:from>
    <cdr:to>
      <cdr:x>0</cdr:x>
      <cdr:y>0.88649</cdr:y>
    </cdr:to>
    <cdr:sp macro="" textlink="">
      <cdr:nvSpPr>
        <cdr:cNvPr id="2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3819524"/>
          <a:ext cx="4863103" cy="3762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endParaRPr lang="pl-PL" sz="1025" b="0" i="1" u="none" strike="noStrike" baseline="0">
            <a:solidFill>
              <a:srgbClr val="000000"/>
            </a:solidFill>
            <a:latin typeface="Arial"/>
            <a:cs typeface="Arial"/>
          </a:endParaRPr>
        </a:p>
        <a:p xmlns:a="http://schemas.openxmlformats.org/drawingml/2006/main">
          <a:pPr algn="l" rtl="0">
            <a:defRPr sz="1000"/>
          </a:pPr>
          <a:r>
            <a:rPr lang="pl-PL" sz="1025" b="0" i="1" u="none" strike="noStrike" baseline="0">
              <a:solidFill>
                <a:srgbClr val="000000"/>
              </a:solidFill>
              <a:latin typeface="Arial"/>
              <a:cs typeface="Arial"/>
            </a:rPr>
            <a:t>Źródło: opracowanie ARR na podstawie wstępnych danych Ministerstwa Finansów.</a:t>
          </a:r>
          <a:endParaRPr lang="pl-PL"/>
        </a:p>
      </cdr:txBody>
    </cdr:sp>
  </cdr:relSizeAnchor>
  <cdr:relSizeAnchor xmlns:cdr="http://schemas.openxmlformats.org/drawingml/2006/chartDrawing">
    <cdr:from>
      <cdr:x>0.22122</cdr:x>
      <cdr:y>0.45483</cdr:y>
    </cdr:from>
    <cdr:to>
      <cdr:x>0.40805</cdr:x>
      <cdr:y>0.53719</cdr:y>
    </cdr:to>
    <cdr:sp macro="" textlink="">
      <cdr:nvSpPr>
        <cdr:cNvPr id="3" name="Prostokąt zaokrąglony 2"/>
        <cdr:cNvSpPr/>
      </cdr:nvSpPr>
      <cdr:spPr>
        <a:xfrm xmlns:a="http://schemas.openxmlformats.org/drawingml/2006/main">
          <a:off x="1314262" y="1594844"/>
          <a:ext cx="1109961" cy="288793"/>
        </a:xfrm>
        <a:prstGeom xmlns:a="http://schemas.openxmlformats.org/drawingml/2006/main" prst="roundRect">
          <a:avLst/>
        </a:prstGeom>
        <a:solidFill xmlns:a="http://schemas.openxmlformats.org/drawingml/2006/main">
          <a:schemeClr val="accent3">
            <a:lumMod val="40000"/>
            <a:lumOff val="60000"/>
          </a:schemeClr>
        </a:solidFill>
        <a:ln xmlns:a="http://schemas.openxmlformats.org/drawingml/2006/main" w="6350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900" b="1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10,8 mld euro</a:t>
          </a:r>
        </a:p>
      </cdr:txBody>
    </cdr:sp>
  </cdr:relSizeAnchor>
  <cdr:relSizeAnchor xmlns:cdr="http://schemas.openxmlformats.org/drawingml/2006/chartDrawing">
    <cdr:from>
      <cdr:x>0.6586</cdr:x>
      <cdr:y>0.45501</cdr:y>
    </cdr:from>
    <cdr:to>
      <cdr:x>0.85009</cdr:x>
      <cdr:y>0.53737</cdr:y>
    </cdr:to>
    <cdr:sp macro="" textlink="">
      <cdr:nvSpPr>
        <cdr:cNvPr id="4" name="Prostokąt zaokrąglony 3"/>
        <cdr:cNvSpPr/>
      </cdr:nvSpPr>
      <cdr:spPr>
        <a:xfrm xmlns:a="http://schemas.openxmlformats.org/drawingml/2006/main">
          <a:off x="3912781" y="1595479"/>
          <a:ext cx="1137684" cy="288793"/>
        </a:xfrm>
        <a:prstGeom xmlns:a="http://schemas.openxmlformats.org/drawingml/2006/main" prst="roundRect">
          <a:avLst/>
        </a:prstGeom>
        <a:solidFill xmlns:a="http://schemas.openxmlformats.org/drawingml/2006/main">
          <a:schemeClr val="accent3">
            <a:lumMod val="40000"/>
            <a:lumOff val="60000"/>
          </a:schemeClr>
        </a:solidFill>
        <a:ln xmlns:a="http://schemas.openxmlformats.org/drawingml/2006/main" w="6350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900" b="1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8,8 mld euro</a:t>
          </a:r>
        </a:p>
      </cdr:txBody>
    </cdr:sp>
  </cdr:relSizeAnchor>
  <cdr:relSizeAnchor xmlns:cdr="http://schemas.openxmlformats.org/drawingml/2006/chartDrawing">
    <cdr:from>
      <cdr:x>0.01253</cdr:x>
      <cdr:y>0.9394</cdr:y>
    </cdr:from>
    <cdr:to>
      <cdr:x>0.63963</cdr:x>
      <cdr:y>0.98598</cdr:y>
    </cdr:to>
    <cdr:sp macro="" textlink="">
      <cdr:nvSpPr>
        <cdr:cNvPr id="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12319" y="4970993"/>
          <a:ext cx="5622206" cy="24648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pl-PL" sz="800" b="0" i="1" u="none" strike="noStrike" baseline="0">
              <a:solidFill>
                <a:srgbClr val="000000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Import według kraju wysyłki.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0.42224</cdr:x>
      <cdr:y>0.38584</cdr:y>
    </cdr:from>
    <cdr:to>
      <cdr:x>0.59447</cdr:x>
      <cdr:y>0.45997</cdr:y>
    </cdr:to>
    <cdr:sp macro="" textlink="">
      <cdr:nvSpPr>
        <cdr:cNvPr id="275457" name="AutoShape 1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291194" y="1923301"/>
          <a:ext cx="1342468" cy="369519"/>
        </a:xfrm>
        <a:prstGeom xmlns:a="http://schemas.openxmlformats.org/drawingml/2006/main" prst="flowChartAlternateProcess">
          <a:avLst/>
        </a:prstGeom>
        <a:solidFill xmlns:a="http://schemas.openxmlformats.org/drawingml/2006/main">
          <a:srgbClr xmlns:mc="http://schemas.openxmlformats.org/markup-compatibility/2006" xmlns:a14="http://schemas.microsoft.com/office/drawing/2010/main" val="CCFFCC" mc:Ignorable="a14" a14:legacySpreadsheetColorIndex="42"/>
        </a:solidFill>
        <a:ln xmlns:a="http://schemas.openxmlformats.org/drawingml/2006/main" w="9525">
          <a:solidFill>
            <a:srgbClr xmlns:mc="http://schemas.openxmlformats.org/markup-compatibility/2006" xmlns:a14="http://schemas.microsoft.com/office/drawing/2010/main" val="000000" mc:Ignorable="a14" a14:legacySpreadsheetColorIndex="64"/>
          </a:solidFill>
          <a:miter lim="800000"/>
          <a:headEnd/>
          <a:tailEnd/>
        </a:ln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900" b="1" i="0" u="none" strike="noStrike" baseline="0">
              <a:solidFill>
                <a:srgbClr val="000000"/>
              </a:solidFill>
              <a:latin typeface="Arial"/>
              <a:cs typeface="Arial"/>
            </a:rPr>
            <a:t>10,8 mld euro</a:t>
          </a:r>
          <a:endParaRPr lang="pl-PL" sz="900"/>
        </a:p>
      </cdr:txBody>
    </cdr:sp>
  </cdr:relSizeAnchor>
  <cdr:relSizeAnchor xmlns:cdr="http://schemas.openxmlformats.org/drawingml/2006/chartDrawing">
    <cdr:from>
      <cdr:x>0.0108</cdr:x>
      <cdr:y>0.95407</cdr:y>
    </cdr:from>
    <cdr:to>
      <cdr:x>0.7223</cdr:x>
      <cdr:y>0.98993</cdr:y>
    </cdr:to>
    <cdr:sp macro="" textlink="">
      <cdr:nvSpPr>
        <cdr:cNvPr id="275458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6767" y="4798218"/>
          <a:ext cx="5057364" cy="1803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0.33007</cdr:x>
      <cdr:y>0.4947</cdr:y>
    </cdr:from>
    <cdr:to>
      <cdr:x>0.56046</cdr:x>
      <cdr:y>0.54965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1972298" y="2734865"/>
          <a:ext cx="1376661" cy="3037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Alkoho</a:t>
          </a:r>
          <a:r>
            <a:rPr lang="pl-PL" sz="1000" b="1">
              <a:latin typeface="Arial" panose="020B0604020202020204" pitchFamily="34" charset="0"/>
              <a:cs typeface="Arial" panose="020B0604020202020204" pitchFamily="34" charset="0"/>
            </a:rPr>
            <a:t>l</a:t>
          </a:r>
        </a:p>
      </cdr:txBody>
    </cdr:sp>
  </cdr:relSizeAnchor>
  <cdr:relSizeAnchor xmlns:cdr="http://schemas.openxmlformats.org/drawingml/2006/chartDrawing">
    <cdr:from>
      <cdr:x>0.33084</cdr:x>
      <cdr:y>0.60716</cdr:y>
    </cdr:from>
    <cdr:to>
      <cdr:x>0.6648</cdr:x>
      <cdr:y>0.66018</cdr:y>
    </cdr:to>
    <cdr:sp macro="" textlink="">
      <cdr:nvSpPr>
        <cdr:cNvPr id="4" name="pole tekstowe 1"/>
        <cdr:cNvSpPr txBox="1"/>
      </cdr:nvSpPr>
      <cdr:spPr>
        <a:xfrm xmlns:a="http://schemas.openxmlformats.org/drawingml/2006/main">
          <a:off x="1976899" y="3356580"/>
          <a:ext cx="1995528" cy="2931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Owoce (w tym orzechy) i przetwory</a:t>
          </a:r>
        </a:p>
      </cdr:txBody>
    </cdr:sp>
  </cdr:relSizeAnchor>
  <cdr:relSizeAnchor xmlns:cdr="http://schemas.openxmlformats.org/drawingml/2006/chartDrawing">
    <cdr:from>
      <cdr:x>0.32839</cdr:x>
      <cdr:y>0.83572</cdr:y>
    </cdr:from>
    <cdr:to>
      <cdr:x>0.52544</cdr:x>
      <cdr:y>0.88022</cdr:y>
    </cdr:to>
    <cdr:sp macro="" textlink="">
      <cdr:nvSpPr>
        <cdr:cNvPr id="5" name="pole tekstowe 1"/>
        <cdr:cNvSpPr txBox="1"/>
      </cdr:nvSpPr>
      <cdr:spPr>
        <a:xfrm xmlns:a="http://schemas.openxmlformats.org/drawingml/2006/main">
          <a:off x="1962263" y="4620132"/>
          <a:ext cx="1177442" cy="2460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Produkty paszowe</a:t>
          </a:r>
        </a:p>
      </cdr:txBody>
    </cdr:sp>
  </cdr:relSizeAnchor>
  <cdr:relSizeAnchor xmlns:cdr="http://schemas.openxmlformats.org/drawingml/2006/chartDrawing">
    <cdr:from>
      <cdr:x>0.03972</cdr:x>
      <cdr:y>0.94768</cdr:y>
    </cdr:from>
    <cdr:to>
      <cdr:x>0.39095</cdr:x>
      <cdr:y>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7176" y="4226718"/>
          <a:ext cx="2274093" cy="2333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 i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* Produkty mleczarskie bez kazeiny</a:t>
          </a:r>
          <a:r>
            <a:rPr lang="pl-PL" sz="1100"/>
            <a:t>.</a:t>
          </a:r>
        </a:p>
      </cdr:txBody>
    </cdr:sp>
  </cdr:relSizeAnchor>
  <cdr:relSizeAnchor xmlns:cdr="http://schemas.openxmlformats.org/drawingml/2006/chartDrawing">
    <cdr:from>
      <cdr:x>0.33076</cdr:x>
      <cdr:y>0.662</cdr:y>
    </cdr:from>
    <cdr:to>
      <cdr:x>0.55194</cdr:x>
      <cdr:y>0.71141</cdr:y>
    </cdr:to>
    <cdr:sp macro="" textlink="">
      <cdr:nvSpPr>
        <cdr:cNvPr id="7" name="pole tekstowe 1"/>
        <cdr:cNvSpPr txBox="1"/>
      </cdr:nvSpPr>
      <cdr:spPr>
        <a:xfrm xmlns:a="http://schemas.openxmlformats.org/drawingml/2006/main">
          <a:off x="1976392" y="3659731"/>
          <a:ext cx="1321628" cy="2731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 b="1">
              <a:effectLst/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Kawa, herbata,</a:t>
          </a:r>
          <a:r>
            <a:rPr lang="pl-PL" sz="900" b="1" baseline="0">
              <a:effectLst/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 kakao</a:t>
          </a:r>
          <a:endParaRPr lang="pl-PL" sz="900">
            <a:effectLst/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cdr:txBody>
    </cdr:sp>
  </cdr:relSizeAnchor>
  <cdr:relSizeAnchor xmlns:cdr="http://schemas.openxmlformats.org/drawingml/2006/chartDrawing">
    <cdr:from>
      <cdr:x>0.32917</cdr:x>
      <cdr:y>0.77948</cdr:y>
    </cdr:from>
    <cdr:to>
      <cdr:x>0.65001</cdr:x>
      <cdr:y>0.82964</cdr:y>
    </cdr:to>
    <cdr:sp macro="" textlink="">
      <cdr:nvSpPr>
        <cdr:cNvPr id="8" name="pole tekstowe 1"/>
        <cdr:cNvSpPr txBox="1"/>
      </cdr:nvSpPr>
      <cdr:spPr>
        <a:xfrm xmlns:a="http://schemas.openxmlformats.org/drawingml/2006/main">
          <a:off x="1966907" y="4309210"/>
          <a:ext cx="1917132" cy="277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 b="1">
              <a:effectLst/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Zwierzęta żywe </a:t>
          </a:r>
          <a:endParaRPr lang="pl-PL" sz="900" b="1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cdr:txBody>
    </cdr:sp>
  </cdr:relSizeAnchor>
  <cdr:relSizeAnchor xmlns:cdr="http://schemas.openxmlformats.org/drawingml/2006/chartDrawing">
    <cdr:from>
      <cdr:x>0.32787</cdr:x>
      <cdr:y>0.54922</cdr:y>
    </cdr:from>
    <cdr:to>
      <cdr:x>0.56201</cdr:x>
      <cdr:y>0.60417</cdr:y>
    </cdr:to>
    <cdr:sp macro="" textlink="">
      <cdr:nvSpPr>
        <cdr:cNvPr id="9" name="pole tekstowe 1"/>
        <cdr:cNvSpPr txBox="1"/>
      </cdr:nvSpPr>
      <cdr:spPr>
        <a:xfrm xmlns:a="http://schemas.openxmlformats.org/drawingml/2006/main">
          <a:off x="1959152" y="3036258"/>
          <a:ext cx="1399069" cy="3037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Nasiona roślin oleistych</a:t>
          </a:r>
        </a:p>
      </cdr:txBody>
    </cdr:sp>
  </cdr:relSizeAnchor>
  <cdr:relSizeAnchor xmlns:cdr="http://schemas.openxmlformats.org/drawingml/2006/chartDrawing">
    <cdr:from>
      <cdr:x>0.32852</cdr:x>
      <cdr:y>0.72643</cdr:y>
    </cdr:from>
    <cdr:to>
      <cdr:x>0.63636</cdr:x>
      <cdr:y>0.76105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63023" y="4015922"/>
          <a:ext cx="1839452" cy="1913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Tłuszcze roślinne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154C1-4B43-4AC2-BD08-5FAD7C4AA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4556</Words>
  <Characters>27336</Characters>
  <Application>Microsoft Office Word</Application>
  <DocSecurity>4</DocSecurity>
  <Lines>227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ARR</Company>
  <LinksUpToDate>false</LinksUpToDate>
  <CharactersWithSpaces>31829</CharactersWithSpaces>
  <SharedDoc>false</SharedDoc>
  <HLinks>
    <vt:vector size="54" baseType="variant">
      <vt:variant>
        <vt:i4>6553702</vt:i4>
      </vt:variant>
      <vt:variant>
        <vt:i4>27</vt:i4>
      </vt:variant>
      <vt:variant>
        <vt:i4>0</vt:i4>
      </vt:variant>
      <vt:variant>
        <vt:i4>5</vt:i4>
      </vt:variant>
      <vt:variant>
        <vt:lpwstr>http://www.bip.arr.gov.pl/</vt:lpwstr>
      </vt:variant>
      <vt:variant>
        <vt:lpwstr/>
      </vt:variant>
      <vt:variant>
        <vt:i4>7733281</vt:i4>
      </vt:variant>
      <vt:variant>
        <vt:i4>24</vt:i4>
      </vt:variant>
      <vt:variant>
        <vt:i4>0</vt:i4>
      </vt:variant>
      <vt:variant>
        <vt:i4>5</vt:i4>
      </vt:variant>
      <vt:variant>
        <vt:lpwstr>http://www.arr.gov.pl/</vt:lpwstr>
      </vt:variant>
      <vt:variant>
        <vt:lpwstr/>
      </vt:variant>
      <vt:variant>
        <vt:i4>2293798</vt:i4>
      </vt:variant>
      <vt:variant>
        <vt:i4>21</vt:i4>
      </vt:variant>
      <vt:variant>
        <vt:i4>0</vt:i4>
      </vt:variant>
      <vt:variant>
        <vt:i4>5</vt:i4>
      </vt:variant>
      <vt:variant>
        <vt:lpwstr>http://www.arr.gov.pl/handel-zagraniczny-zm/informacje-handlowe/4723-oferty-udzialu-w-misjach-gospodarczych-i-targach-miedzynarodowych</vt:lpwstr>
      </vt:variant>
      <vt:variant>
        <vt:lpwstr/>
      </vt:variant>
      <vt:variant>
        <vt:i4>2293798</vt:i4>
      </vt:variant>
      <vt:variant>
        <vt:i4>18</vt:i4>
      </vt:variant>
      <vt:variant>
        <vt:i4>0</vt:i4>
      </vt:variant>
      <vt:variant>
        <vt:i4>5</vt:i4>
      </vt:variant>
      <vt:variant>
        <vt:lpwstr>http://www.arr.gov.pl/handel-zagraniczny-zm/informacje-handlowe/4723-oferty-udzialu-w-misjach-gospodarczych-i-targach-miedzynarodowych</vt:lpwstr>
      </vt:variant>
      <vt:variant>
        <vt:lpwstr/>
      </vt:variant>
      <vt:variant>
        <vt:i4>2293798</vt:i4>
      </vt:variant>
      <vt:variant>
        <vt:i4>15</vt:i4>
      </vt:variant>
      <vt:variant>
        <vt:i4>0</vt:i4>
      </vt:variant>
      <vt:variant>
        <vt:i4>5</vt:i4>
      </vt:variant>
      <vt:variant>
        <vt:lpwstr>http://www.arr.gov.pl/handel-zagraniczny-zm/informacje-handlowe/4723-oferty-udzialu-w-misjach-gospodarczych-i-targach-miedzynarodowych</vt:lpwstr>
      </vt:variant>
      <vt:variant>
        <vt:lpwstr/>
      </vt:variant>
      <vt:variant>
        <vt:i4>2293798</vt:i4>
      </vt:variant>
      <vt:variant>
        <vt:i4>12</vt:i4>
      </vt:variant>
      <vt:variant>
        <vt:i4>0</vt:i4>
      </vt:variant>
      <vt:variant>
        <vt:i4>5</vt:i4>
      </vt:variant>
      <vt:variant>
        <vt:lpwstr>http://www.arr.gov.pl/handel-zagraniczny-zm/informacje-handlowe/4723-oferty-udzialu-w-misjach-gospodarczych-i-targach-miedzynarodowych</vt:lpwstr>
      </vt:variant>
      <vt:variant>
        <vt:lpwstr/>
      </vt:variant>
      <vt:variant>
        <vt:i4>2293798</vt:i4>
      </vt:variant>
      <vt:variant>
        <vt:i4>9</vt:i4>
      </vt:variant>
      <vt:variant>
        <vt:i4>0</vt:i4>
      </vt:variant>
      <vt:variant>
        <vt:i4>5</vt:i4>
      </vt:variant>
      <vt:variant>
        <vt:lpwstr>http://www.arr.gov.pl/handel-zagraniczny-zm/informacje-handlowe/4723-oferty-udzialu-w-misjach-gospodarczych-i-targach-miedzynarodowych</vt:lpwstr>
      </vt:variant>
      <vt:variant>
        <vt:lpwstr/>
      </vt:variant>
      <vt:variant>
        <vt:i4>2293798</vt:i4>
      </vt:variant>
      <vt:variant>
        <vt:i4>6</vt:i4>
      </vt:variant>
      <vt:variant>
        <vt:i4>0</vt:i4>
      </vt:variant>
      <vt:variant>
        <vt:i4>5</vt:i4>
      </vt:variant>
      <vt:variant>
        <vt:lpwstr>http://www.arr.gov.pl/handel-zagraniczny-zm/informacje-handlowe/4723-oferty-udzialu-w-misjach-gospodarczych-i-targach-miedzynarodowych</vt:lpwstr>
      </vt:variant>
      <vt:variant>
        <vt:lpwstr/>
      </vt:variant>
      <vt:variant>
        <vt:i4>2293798</vt:i4>
      </vt:variant>
      <vt:variant>
        <vt:i4>3</vt:i4>
      </vt:variant>
      <vt:variant>
        <vt:i4>0</vt:i4>
      </vt:variant>
      <vt:variant>
        <vt:i4>5</vt:i4>
      </vt:variant>
      <vt:variant>
        <vt:lpwstr>http://www.arr.gov.pl/handel-zagraniczny-zm/informacje-handlowe/4723-oferty-udzialu-w-misjach-gospodarczych-i-targach-miedzynarodowych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monikakru</dc:creator>
  <cp:lastModifiedBy>Włodarczyk Maria</cp:lastModifiedBy>
  <cp:revision>2</cp:revision>
  <cp:lastPrinted>2017-09-12T13:10:00Z</cp:lastPrinted>
  <dcterms:created xsi:type="dcterms:W3CDTF">2017-10-31T10:14:00Z</dcterms:created>
  <dcterms:modified xsi:type="dcterms:W3CDTF">2017-10-31T10:14:00Z</dcterms:modified>
</cp:coreProperties>
</file>